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4C994" w14:textId="77777777" w:rsidR="00027AA2" w:rsidRDefault="00027AA2" w:rsidP="00F6756B">
      <w:pPr>
        <w:jc w:val="center"/>
        <w:rPr>
          <w:b/>
          <w:bCs/>
          <w:u w:val="single"/>
        </w:rPr>
      </w:pPr>
      <w:bookmarkStart w:id="0" w:name="_GoBack"/>
      <w:bookmarkEnd w:id="0"/>
    </w:p>
    <w:p w14:paraId="45694980" w14:textId="193C50CF" w:rsidR="00F6756B" w:rsidRDefault="00F6756B" w:rsidP="00F6756B">
      <w:pPr>
        <w:jc w:val="center"/>
        <w:rPr>
          <w:b/>
          <w:bCs/>
          <w:u w:val="single"/>
        </w:rPr>
      </w:pPr>
      <w:r w:rsidRPr="00F6756B">
        <w:rPr>
          <w:b/>
          <w:bCs/>
          <w:u w:val="single"/>
        </w:rPr>
        <w:t>SLCN Resources for Secondary Pupils:</w:t>
      </w:r>
    </w:p>
    <w:p w14:paraId="4B1D3E93" w14:textId="77777777" w:rsidR="00F20C95" w:rsidRDefault="00F20C95" w:rsidP="00F6756B">
      <w:pPr>
        <w:jc w:val="center"/>
        <w:rPr>
          <w:b/>
          <w:bCs/>
          <w:u w:val="single"/>
        </w:rPr>
      </w:pPr>
    </w:p>
    <w:p w14:paraId="61F584F9" w14:textId="75710632" w:rsidR="00F20C95" w:rsidRPr="00F20C95" w:rsidRDefault="00F20C95" w:rsidP="0099276E">
      <w:pPr>
        <w:jc w:val="center"/>
        <w:rPr>
          <w:i/>
          <w:iCs/>
        </w:rPr>
      </w:pPr>
      <w:r w:rsidRPr="00F20C95">
        <w:rPr>
          <w:i/>
          <w:iCs/>
        </w:rPr>
        <w:t xml:space="preserve">The sites and resources </w:t>
      </w:r>
      <w:r w:rsidR="00801EB4">
        <w:rPr>
          <w:i/>
          <w:iCs/>
        </w:rPr>
        <w:t>listed</w:t>
      </w:r>
      <w:r w:rsidRPr="00F20C95">
        <w:rPr>
          <w:i/>
          <w:iCs/>
        </w:rPr>
        <w:t xml:space="preserve"> below are intended as </w:t>
      </w:r>
      <w:r w:rsidR="00801EB4">
        <w:rPr>
          <w:i/>
          <w:iCs/>
        </w:rPr>
        <w:t>suggestions of</w:t>
      </w:r>
      <w:r w:rsidRPr="00F20C95">
        <w:rPr>
          <w:i/>
          <w:iCs/>
        </w:rPr>
        <w:t xml:space="preserve"> organisations which may meet the needs of your school and pupils. However</w:t>
      </w:r>
      <w:r w:rsidR="0099276E">
        <w:rPr>
          <w:i/>
          <w:iCs/>
        </w:rPr>
        <w:t>,</w:t>
      </w:r>
      <w:r w:rsidRPr="00F20C95">
        <w:rPr>
          <w:i/>
          <w:iCs/>
        </w:rPr>
        <w:t xml:space="preserve"> they are not endorsed by OCC, nor are any adverts which may appear on these sites. OCC holds no responsibility for the quality assurance of the resources or information.</w:t>
      </w:r>
    </w:p>
    <w:p w14:paraId="6950CAB4" w14:textId="77777777" w:rsidR="00F6756B" w:rsidRPr="007254D7" w:rsidRDefault="00F6756B">
      <w:pPr>
        <w:rPr>
          <w:b/>
          <w:bCs/>
        </w:rPr>
      </w:pPr>
    </w:p>
    <w:p w14:paraId="1BCB7D93" w14:textId="7C846735" w:rsidR="00565365" w:rsidRPr="007254D7" w:rsidRDefault="00565365">
      <w:pPr>
        <w:rPr>
          <w:b/>
          <w:bCs/>
          <w:u w:val="single"/>
        </w:rPr>
      </w:pPr>
      <w:r w:rsidRPr="007254D7">
        <w:rPr>
          <w:b/>
          <w:bCs/>
          <w:u w:val="single"/>
        </w:rPr>
        <w:t>Training</w:t>
      </w:r>
      <w:r w:rsidR="004F1864" w:rsidRPr="007254D7">
        <w:rPr>
          <w:b/>
          <w:bCs/>
          <w:u w:val="single"/>
        </w:rPr>
        <w:t xml:space="preserve"> / information:</w:t>
      </w:r>
    </w:p>
    <w:p w14:paraId="7187289D" w14:textId="77777777" w:rsidR="00565365" w:rsidRDefault="00565365"/>
    <w:p w14:paraId="405FCF7B" w14:textId="282A24BF" w:rsidR="00565365" w:rsidRDefault="00565365">
      <w:r>
        <w:t xml:space="preserve">Free training provided by The Box RCSLT – whilst designed for professionals working within the justice system, it </w:t>
      </w:r>
      <w:r w:rsidR="00B136EE">
        <w:t>is a useful resource for those working within education</w:t>
      </w:r>
    </w:p>
    <w:p w14:paraId="73D08415" w14:textId="21680B86" w:rsidR="00F11B79" w:rsidRDefault="00F11B79"/>
    <w:p w14:paraId="2F8ECAC1" w14:textId="29E5702F" w:rsidR="00F11B79" w:rsidRDefault="00F11B79">
      <w:r>
        <w:t>The Communication Trust</w:t>
      </w:r>
      <w:r w:rsidR="00F6756B">
        <w:t xml:space="preserve">: </w:t>
      </w:r>
      <w:r w:rsidR="00F6756B" w:rsidRPr="00F6756B">
        <w:t>CPD Online Short Course: An introduction to speech, language and communication</w:t>
      </w:r>
      <w:r w:rsidR="00F6756B">
        <w:t xml:space="preserve"> (free) </w:t>
      </w:r>
      <w:hyperlink r:id="rId9" w:history="1">
        <w:r w:rsidR="00F6756B" w:rsidRPr="001413E2">
          <w:rPr>
            <w:rStyle w:val="Hyperlink"/>
          </w:rPr>
          <w:t>https://www.thecommunicationtrust.org.uk/projects/professional-development/online-short-course/</w:t>
        </w:r>
      </w:hyperlink>
      <w:r w:rsidR="00F6756B">
        <w:t xml:space="preserve"> </w:t>
      </w:r>
    </w:p>
    <w:p w14:paraId="620D9702" w14:textId="3E67230F" w:rsidR="00B72BDB" w:rsidRDefault="00B72BDB"/>
    <w:p w14:paraId="20660938" w14:textId="114C1B95" w:rsidR="00B72BDB" w:rsidRDefault="00B72BDB">
      <w:r>
        <w:t>Universally Speaking: The ages and stages of young people’s communication development from 11 – 18</w:t>
      </w:r>
    </w:p>
    <w:p w14:paraId="15B8CF8B" w14:textId="69BFA2A5" w:rsidR="00B72BDB" w:rsidRDefault="00DF6045">
      <w:hyperlink r:id="rId10" w:history="1">
        <w:r w:rsidR="00B72BDB" w:rsidRPr="007E33F7">
          <w:rPr>
            <w:rStyle w:val="Hyperlink"/>
          </w:rPr>
          <w:t>https://www.pearsonclinical.co.uk/Sitedownloads/Hellocampaign/universally-speaking-secondary.pdf</w:t>
        </w:r>
      </w:hyperlink>
      <w:r w:rsidR="00B72BDB">
        <w:t xml:space="preserve"> </w:t>
      </w:r>
    </w:p>
    <w:p w14:paraId="77CF8C0C" w14:textId="703CAF14" w:rsidR="0092668D" w:rsidRDefault="0092668D"/>
    <w:p w14:paraId="56DB9F61" w14:textId="77777777" w:rsidR="00DD4BC5" w:rsidRDefault="0092668D">
      <w:r>
        <w:t xml:space="preserve">The Communication Trust </w:t>
      </w:r>
      <w:r w:rsidR="00DD4BC5">
        <w:t>‘Involving Children and Young People with SLCN: A toolkit for education settings’</w:t>
      </w:r>
    </w:p>
    <w:p w14:paraId="631582E2" w14:textId="2B893E02" w:rsidR="0092668D" w:rsidRDefault="00DF6045">
      <w:hyperlink r:id="rId11" w:history="1">
        <w:r w:rsidR="0066042F" w:rsidRPr="007E33F7">
          <w:rPr>
            <w:rStyle w:val="Hyperlink"/>
          </w:rPr>
          <w:t>https://www.thecommunicationtrust.org.uk/media/449470/involving_cyp_with_slcn_toolkit.pdf Pages 113 - 116</w:t>
        </w:r>
      </w:hyperlink>
      <w:r w:rsidR="00DD4BC5">
        <w:t xml:space="preserve"> </w:t>
      </w:r>
    </w:p>
    <w:p w14:paraId="722C4FD6" w14:textId="4B1C9231" w:rsidR="0066042F" w:rsidRDefault="0066042F"/>
    <w:p w14:paraId="222135DF" w14:textId="4039AC16" w:rsidR="0066042F" w:rsidRDefault="0066042F">
      <w:r>
        <w:t xml:space="preserve">I CAN Talk Series – Issue 10: Speech, Language and Communication in Secondary Aged Pupils’ </w:t>
      </w:r>
      <w:hyperlink r:id="rId12" w:history="1">
        <w:r w:rsidR="00F20C95" w:rsidRPr="007E33F7">
          <w:rPr>
            <w:rStyle w:val="Hyperlink"/>
          </w:rPr>
          <w:t>https://ican.org.uk/media/1926/ican_talkseries10.pdf</w:t>
        </w:r>
      </w:hyperlink>
      <w:r>
        <w:t xml:space="preserve"> </w:t>
      </w:r>
    </w:p>
    <w:p w14:paraId="7F8BA13A" w14:textId="2AB53B16" w:rsidR="00F20C95" w:rsidRDefault="00F20C95"/>
    <w:p w14:paraId="05A88F24" w14:textId="640390A7" w:rsidR="00F20C95" w:rsidRDefault="00F20C95">
      <w:r>
        <w:t xml:space="preserve">NAPLIC </w:t>
      </w:r>
      <w:hyperlink r:id="rId13" w:history="1">
        <w:r w:rsidRPr="007E33F7">
          <w:rPr>
            <w:rStyle w:val="Hyperlink"/>
          </w:rPr>
          <w:t>https://www.naplic.org.uk/slcn/</w:t>
        </w:r>
      </w:hyperlink>
      <w:r>
        <w:t xml:space="preserve"> </w:t>
      </w:r>
      <w:r w:rsidR="0060100C">
        <w:t>This webpage offers a list of articles which are related to SLCN ( a number of which are about DLD).</w:t>
      </w:r>
    </w:p>
    <w:p w14:paraId="51014373" w14:textId="77777777" w:rsidR="00565365" w:rsidRDefault="00565365"/>
    <w:p w14:paraId="751EDEA2" w14:textId="17BA93B6" w:rsidR="00825F6B" w:rsidRPr="007254D7" w:rsidRDefault="00565365">
      <w:pPr>
        <w:rPr>
          <w:b/>
          <w:bCs/>
          <w:u w:val="single"/>
        </w:rPr>
      </w:pPr>
      <w:r w:rsidRPr="007254D7">
        <w:rPr>
          <w:b/>
          <w:bCs/>
          <w:u w:val="single"/>
        </w:rPr>
        <w:t>Interventions for SLCN:</w:t>
      </w:r>
    </w:p>
    <w:p w14:paraId="6BC17B0A" w14:textId="789A2B3C" w:rsidR="00825F6B" w:rsidRDefault="00825F6B">
      <w:pPr>
        <w:rPr>
          <w:u w:val="single"/>
        </w:rPr>
      </w:pPr>
    </w:p>
    <w:p w14:paraId="4D799FB2" w14:textId="54905A9C" w:rsidR="00825F6B" w:rsidRPr="00825F6B" w:rsidRDefault="00825F6B">
      <w:r>
        <w:t xml:space="preserve">NHS Leeds Community </w:t>
      </w:r>
      <w:r w:rsidR="007254D7">
        <w:t xml:space="preserve">Healthcare Speech and Language Therapy Toolkit offers advice and activities which can support with the development of SLCN </w:t>
      </w:r>
      <w:hyperlink r:id="rId14" w:history="1">
        <w:r w:rsidR="007254D7" w:rsidRPr="007E33F7">
          <w:rPr>
            <w:rStyle w:val="Hyperlink"/>
          </w:rPr>
          <w:t>https://www.leedscommunityhealthcare.nhs.uk/our-services-a-z/speech-and-language-therapy2/speech-and-language-therapy-toolkit/</w:t>
        </w:r>
      </w:hyperlink>
      <w:r w:rsidR="007254D7">
        <w:t xml:space="preserve"> </w:t>
      </w:r>
    </w:p>
    <w:p w14:paraId="2758778A" w14:textId="77777777" w:rsidR="00565365" w:rsidRDefault="00565365"/>
    <w:p w14:paraId="2B21309B" w14:textId="5E39D5AB" w:rsidR="00FD3A85" w:rsidRDefault="008679C8">
      <w:r>
        <w:t xml:space="preserve">Text resource: Language for Learning in the Secondary School: A Practical Guide for Supporting Students with Speech, Language and Communication Needs (Routledge, 2011 </w:t>
      </w:r>
      <w:r w:rsidRPr="008679C8">
        <w:t>ISBN 9780415619752</w:t>
      </w:r>
      <w:r>
        <w:t xml:space="preserve">) </w:t>
      </w:r>
      <w:hyperlink r:id="rId15" w:history="1">
        <w:r w:rsidR="0066471B" w:rsidRPr="007E33F7">
          <w:rPr>
            <w:rStyle w:val="Hyperlink"/>
          </w:rPr>
          <w:t>http://www.languageforlearning.co.uk/shop/Key-Stages-3-and-4/Books-and-DVDs/BK11</w:t>
        </w:r>
      </w:hyperlink>
      <w:r w:rsidR="0066471B">
        <w:t xml:space="preserve"> </w:t>
      </w:r>
    </w:p>
    <w:p w14:paraId="79FC24D8" w14:textId="591E79F0" w:rsidR="00F6756B" w:rsidRDefault="00F6756B"/>
    <w:p w14:paraId="0138D59E" w14:textId="0F4104BF" w:rsidR="00F6756B" w:rsidRDefault="00F6756B">
      <w:r>
        <w:t xml:space="preserve">The Communication Trust ‘What Works’ database enables practitioners to view the evidence base for SLCN interventions which may be appropriate for young people they are working with. Users can tailor their intervention search to look for the most </w:t>
      </w:r>
      <w:r>
        <w:lastRenderedPageBreak/>
        <w:t xml:space="preserve">suitable intervention type for their pupil(s). </w:t>
      </w:r>
      <w:hyperlink r:id="rId16" w:history="1">
        <w:r w:rsidRPr="001413E2">
          <w:rPr>
            <w:rStyle w:val="Hyperlink"/>
          </w:rPr>
          <w:t>http://www.thecommunicationtrust.org.uk/projects/what-works/what/</w:t>
        </w:r>
      </w:hyperlink>
      <w:r>
        <w:t xml:space="preserve"> </w:t>
      </w:r>
    </w:p>
    <w:p w14:paraId="4C5FCD61" w14:textId="1256F2B5" w:rsidR="006C4519" w:rsidRDefault="006C4519"/>
    <w:p w14:paraId="2CA9D5E2" w14:textId="087020C0" w:rsidR="006C4519" w:rsidRDefault="006C4519">
      <w:r>
        <w:t>The Communication Trust Resources Guide</w:t>
      </w:r>
      <w:r w:rsidR="00041D52">
        <w:t xml:space="preserve"> for Practitioners</w:t>
      </w:r>
      <w:r>
        <w:t xml:space="preserve"> (resources appropriate for secondary settings are clearly labelled) </w:t>
      </w:r>
      <w:hyperlink r:id="rId17" w:history="1">
        <w:r w:rsidRPr="001413E2">
          <w:rPr>
            <w:rStyle w:val="Hyperlink"/>
          </w:rPr>
          <w:t>http://www.thecommunicationtrust.org.uk/media/562220/tct_resourcesguide_a4_2018.pdf</w:t>
        </w:r>
      </w:hyperlink>
      <w:r>
        <w:t xml:space="preserve"> </w:t>
      </w:r>
    </w:p>
    <w:p w14:paraId="50A51840" w14:textId="68A0396C" w:rsidR="00041D52" w:rsidRDefault="00041D52"/>
    <w:p w14:paraId="65C7CCD5" w14:textId="5BA44879" w:rsidR="00041D52" w:rsidRDefault="00041D52">
      <w:r>
        <w:t xml:space="preserve">The Communication Trust ‘Top Tips for Developing Talk’ – appropriate for use by schools and families. Tips apply to young people of all ages. </w:t>
      </w:r>
      <w:hyperlink r:id="rId18" w:history="1">
        <w:r w:rsidRPr="001413E2">
          <w:rPr>
            <w:rStyle w:val="Hyperlink"/>
          </w:rPr>
          <w:t>http://www.thecommunicationtrust.org.uk/media/617945/tct_toptips_pdf.pdf</w:t>
        </w:r>
      </w:hyperlink>
      <w:r>
        <w:t xml:space="preserve"> </w:t>
      </w:r>
    </w:p>
    <w:p w14:paraId="636A67D4" w14:textId="041E2056" w:rsidR="00565365" w:rsidRDefault="00565365"/>
    <w:p w14:paraId="6A0F63D7" w14:textId="118C88EA" w:rsidR="00E75AA2" w:rsidRDefault="00565365">
      <w:r>
        <w:t>I CAN</w:t>
      </w:r>
      <w:r w:rsidR="00AE5B28">
        <w:t xml:space="preserve"> - </w:t>
      </w:r>
      <w:r w:rsidR="00E75AA2">
        <w:t xml:space="preserve">Talk about Talk Secondary Resources – intervention programme for students </w:t>
      </w:r>
      <w:r w:rsidR="00AE5B28">
        <w:t xml:space="preserve">14 – 18. See </w:t>
      </w:r>
      <w:hyperlink r:id="rId19" w:history="1">
        <w:r w:rsidR="00AE5B28" w:rsidRPr="00365DEE">
          <w:rPr>
            <w:rStyle w:val="Hyperlink"/>
          </w:rPr>
          <w:t>https://ican.org.uk/media/2388/tats-leaflet.pdf</w:t>
        </w:r>
      </w:hyperlink>
      <w:r w:rsidR="00AE5B28">
        <w:t xml:space="preserve"> for more information.</w:t>
      </w:r>
    </w:p>
    <w:p w14:paraId="576D2E22" w14:textId="128F9FE0" w:rsidR="00342833" w:rsidRDefault="00342833"/>
    <w:p w14:paraId="2AF51FD4" w14:textId="6BC6EF0A" w:rsidR="00342833" w:rsidRDefault="00342833">
      <w:r w:rsidRPr="00342833">
        <w:t>Afasic.org.uk</w:t>
      </w:r>
      <w:r>
        <w:t xml:space="preserve"> – Advice for parents and young people about SLCN </w:t>
      </w:r>
      <w:hyperlink r:id="rId20" w:history="1">
        <w:r w:rsidRPr="00365DEE">
          <w:rPr>
            <w:rStyle w:val="Hyperlink"/>
          </w:rPr>
          <w:t>https://www.afasic.org.uk/help-for-your-child/teenagers-and-beyond/</w:t>
        </w:r>
      </w:hyperlink>
      <w:r>
        <w:t xml:space="preserve"> </w:t>
      </w:r>
    </w:p>
    <w:p w14:paraId="49CD3E61" w14:textId="61DEF0DE" w:rsidR="0066471B" w:rsidRDefault="0066471B"/>
    <w:p w14:paraId="40CB687D" w14:textId="67D4B4A0" w:rsidR="0066471B" w:rsidRDefault="0066471B">
      <w:r>
        <w:t xml:space="preserve">Language for Learning resources for key stages 3 and 4: </w:t>
      </w:r>
      <w:hyperlink r:id="rId21" w:history="1">
        <w:r w:rsidRPr="007E33F7">
          <w:rPr>
            <w:rStyle w:val="Hyperlink"/>
          </w:rPr>
          <w:t>http://www.languageforlearning.co.uk/shop/Key-Stages-3-and-4</w:t>
        </w:r>
      </w:hyperlink>
      <w:r>
        <w:t xml:space="preserve"> (resources to support young people with vocabulary, memory, social communication and other </w:t>
      </w:r>
      <w:r w:rsidR="00045A11">
        <w:t xml:space="preserve">SLC </w:t>
      </w:r>
      <w:r>
        <w:t>needs)</w:t>
      </w:r>
    </w:p>
    <w:p w14:paraId="196122D8" w14:textId="3E827FBA" w:rsidR="0066471B" w:rsidRDefault="0066471B"/>
    <w:p w14:paraId="2F6AD272" w14:textId="504D8CAB" w:rsidR="0066471B" w:rsidRDefault="004F1864">
      <w:r>
        <w:t xml:space="preserve">Elklan Secondary Language Builders: </w:t>
      </w:r>
      <w:hyperlink r:id="rId22" w:history="1">
        <w:r w:rsidR="0066042F" w:rsidRPr="007E33F7">
          <w:rPr>
            <w:rStyle w:val="Hyperlink"/>
          </w:rPr>
          <w:t>http://www.elklan.co.uk/</w:t>
        </w:r>
      </w:hyperlink>
      <w:r w:rsidR="0066042F">
        <w:t xml:space="preserve"> </w:t>
      </w:r>
    </w:p>
    <w:p w14:paraId="1A38A6EC" w14:textId="0A6863C9" w:rsidR="00AE5B28" w:rsidRDefault="00AE5B28"/>
    <w:p w14:paraId="61C8C466" w14:textId="77777777" w:rsidR="00AE5B28" w:rsidRPr="00504E43" w:rsidRDefault="00AE5B28"/>
    <w:sectPr w:rsidR="00AE5B28" w:rsidRPr="00504E43">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1FA43" w14:textId="77777777" w:rsidR="00027AA2" w:rsidRDefault="00027AA2" w:rsidP="00027AA2">
      <w:r>
        <w:separator/>
      </w:r>
    </w:p>
  </w:endnote>
  <w:endnote w:type="continuationSeparator" w:id="0">
    <w:p w14:paraId="2168991C" w14:textId="77777777" w:rsidR="00027AA2" w:rsidRDefault="00027AA2" w:rsidP="0002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BE37" w14:textId="77777777" w:rsidR="00B97526" w:rsidRDefault="00B97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ED1C2" w14:textId="77777777" w:rsidR="00B97526" w:rsidRDefault="00B975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3627" w14:textId="77777777" w:rsidR="00B97526" w:rsidRDefault="00B97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63AF9" w14:textId="77777777" w:rsidR="00027AA2" w:rsidRDefault="00027AA2" w:rsidP="00027AA2">
      <w:r>
        <w:separator/>
      </w:r>
    </w:p>
  </w:footnote>
  <w:footnote w:type="continuationSeparator" w:id="0">
    <w:p w14:paraId="07D43B2C" w14:textId="77777777" w:rsidR="00027AA2" w:rsidRDefault="00027AA2" w:rsidP="0002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3F4C" w14:textId="77777777" w:rsidR="00B97526" w:rsidRDefault="00B97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6018B" w14:textId="7A464B21" w:rsidR="00027AA2" w:rsidRDefault="00027AA2" w:rsidP="00D10923">
    <w:pPr>
      <w:pStyle w:val="Header"/>
      <w:ind w:left="-624"/>
      <w:rPr>
        <w:noProof/>
      </w:rPr>
    </w:pPr>
    <w:r>
      <w:rPr>
        <w:noProof/>
        <w:lang w:eastAsia="en-GB"/>
      </w:rPr>
      <w:drawing>
        <wp:anchor distT="0" distB="0" distL="114300" distR="114300" simplePos="0" relativeHeight="251659264" behindDoc="0" locked="0" layoutInCell="1" allowOverlap="1" wp14:anchorId="5254E784" wp14:editId="6D360679">
          <wp:simplePos x="0" y="0"/>
          <wp:positionH relativeFrom="rightMargin">
            <wp:align>left</wp:align>
          </wp:positionH>
          <wp:positionV relativeFrom="paragraph">
            <wp:posOffset>7767</wp:posOffset>
          </wp:positionV>
          <wp:extent cx="457200" cy="396412"/>
          <wp:effectExtent l="0" t="0" r="0" b="3810"/>
          <wp:wrapNone/>
          <wp:docPr id="9" name="Picture 9" descr="attac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3964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A83B31" wp14:editId="61A930A8">
          <wp:extent cx="400929" cy="481589"/>
          <wp:effectExtent l="0" t="0" r="0" b="0"/>
          <wp:docPr id="3" name="Picture 3">
            <a:extLst xmlns:a="http://schemas.openxmlformats.org/drawingml/2006/main">
              <a:ext uri="{FF2B5EF4-FFF2-40B4-BE49-F238E27FC236}">
                <a16:creationId xmlns:a16="http://schemas.microsoft.com/office/drawing/2014/main" id="{9776B215-1B44-483E-8269-D6947D0225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776B215-1B44-483E-8269-D6947D022505}"/>
                      </a:ext>
                    </a:extLst>
                  </pic:cNvPr>
                  <pic:cNvPicPr>
                    <a:picLocks noChangeAspect="1"/>
                  </pic:cNvPicPr>
                </pic:nvPicPr>
                <pic:blipFill>
                  <a:blip r:embed="rId2"/>
                  <a:stretch>
                    <a:fillRect/>
                  </a:stretch>
                </pic:blipFill>
                <pic:spPr>
                  <a:xfrm>
                    <a:off x="0" y="0"/>
                    <a:ext cx="415621" cy="499237"/>
                  </a:xfrm>
                  <a:prstGeom prst="rect">
                    <a:avLst/>
                  </a:prstGeom>
                </pic:spPr>
              </pic:pic>
            </a:graphicData>
          </a:graphic>
        </wp:inline>
      </w:drawing>
    </w:r>
    <w:r>
      <w:rPr>
        <w:noProof/>
      </w:rPr>
      <w:t xml:space="preserve">  </w:t>
    </w:r>
    <w:r w:rsidR="00D10923">
      <w:rPr>
        <w:noProof/>
      </w:rPr>
      <w:t xml:space="preserve"> </w:t>
    </w:r>
    <w:r>
      <w:rPr>
        <w:noProof/>
      </w:rPr>
      <w:drawing>
        <wp:inline distT="0" distB="0" distL="0" distR="0" wp14:anchorId="5E61156A" wp14:editId="220FEEE7">
          <wp:extent cx="959372" cy="42906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959" cy="518328"/>
                  </a:xfrm>
                  <a:prstGeom prst="rect">
                    <a:avLst/>
                  </a:prstGeom>
                  <a:noFill/>
                </pic:spPr>
              </pic:pic>
            </a:graphicData>
          </a:graphic>
        </wp:inline>
      </w:drawing>
    </w:r>
    <w:r w:rsidR="00D10923">
      <w:rPr>
        <w:noProof/>
      </w:rPr>
      <w:t xml:space="preserve">  </w:t>
    </w:r>
    <w:r>
      <w:rPr>
        <w:noProof/>
      </w:rPr>
      <w:drawing>
        <wp:inline distT="0" distB="0" distL="0" distR="0" wp14:anchorId="13BFB908" wp14:editId="10944525">
          <wp:extent cx="605635" cy="422031"/>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8491" cy="430989"/>
                  </a:xfrm>
                  <a:prstGeom prst="rect">
                    <a:avLst/>
                  </a:prstGeom>
                  <a:noFill/>
                </pic:spPr>
              </pic:pic>
            </a:graphicData>
          </a:graphic>
        </wp:inline>
      </w:drawing>
    </w:r>
    <w:r w:rsidR="00B97526">
      <w:rPr>
        <w:noProof/>
        <w:color w:val="000000"/>
        <w:lang w:eastAsia="en-GB"/>
      </w:rPr>
      <w:drawing>
        <wp:inline distT="0" distB="0" distL="0" distR="0" wp14:anchorId="75BD2952" wp14:editId="74E72433">
          <wp:extent cx="1862152" cy="3683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80950" cy="372018"/>
                  </a:xfrm>
                  <a:prstGeom prst="rect">
                    <a:avLst/>
                  </a:prstGeom>
                  <a:noFill/>
                  <a:ln>
                    <a:noFill/>
                  </a:ln>
                </pic:spPr>
              </pic:pic>
            </a:graphicData>
          </a:graphic>
        </wp:inline>
      </w:drawing>
    </w:r>
    <w:r w:rsidR="00D10923">
      <w:rPr>
        <w:noProof/>
      </w:rPr>
      <w:t xml:space="preserve">       </w:t>
    </w:r>
    <w:r w:rsidR="00D10923">
      <w:rPr>
        <w:noProof/>
        <w:lang w:eastAsia="en-GB"/>
      </w:rPr>
      <w:drawing>
        <wp:inline distT="0" distB="0" distL="0" distR="0" wp14:anchorId="361E7E3E" wp14:editId="486BC2C2">
          <wp:extent cx="1603717" cy="317153"/>
          <wp:effectExtent l="0" t="0" r="0" b="698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579" cy="3240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B3C12" w14:textId="77777777" w:rsidR="00B97526" w:rsidRDefault="00B975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C8"/>
    <w:rsid w:val="00027AA2"/>
    <w:rsid w:val="00041D52"/>
    <w:rsid w:val="00045A11"/>
    <w:rsid w:val="000B4310"/>
    <w:rsid w:val="00342833"/>
    <w:rsid w:val="00353AEF"/>
    <w:rsid w:val="004000D7"/>
    <w:rsid w:val="004A087F"/>
    <w:rsid w:val="004F1864"/>
    <w:rsid w:val="00504E43"/>
    <w:rsid w:val="00565365"/>
    <w:rsid w:val="0060100C"/>
    <w:rsid w:val="0066042F"/>
    <w:rsid w:val="0066471B"/>
    <w:rsid w:val="006C4519"/>
    <w:rsid w:val="00720F64"/>
    <w:rsid w:val="007254D7"/>
    <w:rsid w:val="007908F4"/>
    <w:rsid w:val="00801EB4"/>
    <w:rsid w:val="008228A1"/>
    <w:rsid w:val="00825F6B"/>
    <w:rsid w:val="008679C8"/>
    <w:rsid w:val="0092668D"/>
    <w:rsid w:val="0099276E"/>
    <w:rsid w:val="009C1B76"/>
    <w:rsid w:val="00AE5B28"/>
    <w:rsid w:val="00B136EE"/>
    <w:rsid w:val="00B72BDB"/>
    <w:rsid w:val="00B87937"/>
    <w:rsid w:val="00B97526"/>
    <w:rsid w:val="00C204B1"/>
    <w:rsid w:val="00C6046B"/>
    <w:rsid w:val="00D10923"/>
    <w:rsid w:val="00DD4BC5"/>
    <w:rsid w:val="00DF6045"/>
    <w:rsid w:val="00E75AA2"/>
    <w:rsid w:val="00F11B79"/>
    <w:rsid w:val="00F20C95"/>
    <w:rsid w:val="00F6756B"/>
    <w:rsid w:val="00FB3EA5"/>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E86E2B"/>
  <w15:chartTrackingRefBased/>
  <w15:docId w15:val="{A23C8409-6F5A-436B-980F-D1919EB1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B28"/>
    <w:rPr>
      <w:color w:val="0000FF" w:themeColor="hyperlink"/>
      <w:u w:val="single"/>
    </w:rPr>
  </w:style>
  <w:style w:type="character" w:styleId="UnresolvedMention">
    <w:name w:val="Unresolved Mention"/>
    <w:basedOn w:val="DefaultParagraphFont"/>
    <w:uiPriority w:val="99"/>
    <w:semiHidden/>
    <w:unhideWhenUsed/>
    <w:rsid w:val="00AE5B28"/>
    <w:rPr>
      <w:color w:val="605E5C"/>
      <w:shd w:val="clear" w:color="auto" w:fill="E1DFDD"/>
    </w:rPr>
  </w:style>
  <w:style w:type="paragraph" w:styleId="Header">
    <w:name w:val="header"/>
    <w:basedOn w:val="Normal"/>
    <w:link w:val="HeaderChar"/>
    <w:uiPriority w:val="99"/>
    <w:unhideWhenUsed/>
    <w:rsid w:val="00027AA2"/>
    <w:pPr>
      <w:tabs>
        <w:tab w:val="center" w:pos="4513"/>
        <w:tab w:val="right" w:pos="9026"/>
      </w:tabs>
    </w:pPr>
  </w:style>
  <w:style w:type="character" w:customStyle="1" w:styleId="HeaderChar">
    <w:name w:val="Header Char"/>
    <w:basedOn w:val="DefaultParagraphFont"/>
    <w:link w:val="Header"/>
    <w:uiPriority w:val="99"/>
    <w:rsid w:val="00027AA2"/>
  </w:style>
  <w:style w:type="paragraph" w:styleId="Footer">
    <w:name w:val="footer"/>
    <w:basedOn w:val="Normal"/>
    <w:link w:val="FooterChar"/>
    <w:uiPriority w:val="99"/>
    <w:unhideWhenUsed/>
    <w:rsid w:val="00027AA2"/>
    <w:pPr>
      <w:tabs>
        <w:tab w:val="center" w:pos="4513"/>
        <w:tab w:val="right" w:pos="9026"/>
      </w:tabs>
    </w:pPr>
  </w:style>
  <w:style w:type="character" w:customStyle="1" w:styleId="FooterChar">
    <w:name w:val="Footer Char"/>
    <w:basedOn w:val="DefaultParagraphFont"/>
    <w:link w:val="Footer"/>
    <w:uiPriority w:val="99"/>
    <w:rsid w:val="00027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plic.org.uk/slcn/" TargetMode="External"/><Relationship Id="rId18" Type="http://schemas.openxmlformats.org/officeDocument/2006/relationships/hyperlink" Target="http://www.thecommunicationtrust.org.uk/media/617945/tct_toptips_pdf.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languageforlearning.co.uk/shop/Key-Stages-3-and-4" TargetMode="External"/><Relationship Id="rId7" Type="http://schemas.openxmlformats.org/officeDocument/2006/relationships/footnotes" Target="footnotes.xml"/><Relationship Id="rId12" Type="http://schemas.openxmlformats.org/officeDocument/2006/relationships/hyperlink" Target="https://ican.org.uk/media/1926/ican_talkseries10.pdf" TargetMode="External"/><Relationship Id="rId17" Type="http://schemas.openxmlformats.org/officeDocument/2006/relationships/hyperlink" Target="http://www.thecommunicationtrust.org.uk/media/562220/tct_resourcesguide_a4_2018.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hecommunicationtrust.org.uk/projects/what-works/what/" TargetMode="External"/><Relationship Id="rId20" Type="http://schemas.openxmlformats.org/officeDocument/2006/relationships/hyperlink" Target="https://www.afasic.org.uk/help-for-your-child/teenagers-and-beyon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ecommunicationtrust.org.uk/media/449470/involving_cyp_with_slcn_toolkit.pdf%20Pages%20113%20-%20116"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languageforlearning.co.uk/shop/Key-Stages-3-and-4/Books-and-DVDs/BK1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pearsonclinical.co.uk/Sitedownloads/Hellocampaign/universally-speaking-secondary.pdf" TargetMode="External"/><Relationship Id="rId19" Type="http://schemas.openxmlformats.org/officeDocument/2006/relationships/hyperlink" Target="https://ican.org.uk/media/2388/tats-leaflet.pdf" TargetMode="External"/><Relationship Id="rId4" Type="http://schemas.openxmlformats.org/officeDocument/2006/relationships/styles" Target="styles.xml"/><Relationship Id="rId9" Type="http://schemas.openxmlformats.org/officeDocument/2006/relationships/hyperlink" Target="https://www.thecommunicationtrust.org.uk/projects/professional-development/online-short-course/" TargetMode="External"/><Relationship Id="rId14" Type="http://schemas.openxmlformats.org/officeDocument/2006/relationships/hyperlink" Target="https://www.leedscommunityhealthcare.nhs.uk/our-services-a-z/speech-and-language-therapy2/speech-and-language-therapy-toolkit/" TargetMode="External"/><Relationship Id="rId22" Type="http://schemas.openxmlformats.org/officeDocument/2006/relationships/hyperlink" Target="http://www.elklan.co.uk/"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6.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cid:image002.jpg@01D71FC0.170626E0" TargetMode="External"/><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4a1ed48ba02f22c508fa196348d8d3cf">
  <xsd:schema xmlns:xsd="http://www.w3.org/2001/XMLSchema" xmlns:xs="http://www.w3.org/2001/XMLSchema" xmlns:p="http://schemas.microsoft.com/office/2006/metadata/properties" xmlns:ns3="83dce263-d04c-474d-b9ee-1e6428f1a3d8" xmlns:ns4="6dd73cd8-8e65-4754-af1d-1258c41e6661" targetNamespace="http://schemas.microsoft.com/office/2006/metadata/properties" ma:root="true" ma:fieldsID="55f4a239035c164e5d488ba6e1156b02" ns3:_="" ns4:_="">
    <xsd:import namespace="83dce263-d04c-474d-b9ee-1e6428f1a3d8"/>
    <xsd:import namespace="6dd73cd8-8e65-4754-af1d-1258c41e666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E6446-DFB5-495B-AE2F-1B0A799477B1}">
  <ds:schemaRefs>
    <ds:schemaRef ds:uri="http://schemas.microsoft.com/sharepoint/v3/contenttype/forms"/>
  </ds:schemaRefs>
</ds:datastoreItem>
</file>

<file path=customXml/itemProps2.xml><?xml version="1.0" encoding="utf-8"?>
<ds:datastoreItem xmlns:ds="http://schemas.openxmlformats.org/officeDocument/2006/customXml" ds:itemID="{6087B0A9-61DB-40F6-8892-6ADD5F54DE74}">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dd73cd8-8e65-4754-af1d-1258c41e6661"/>
    <ds:schemaRef ds:uri="83dce263-d04c-474d-b9ee-1e6428f1a3d8"/>
    <ds:schemaRef ds:uri="http://www.w3.org/XML/1998/namespace"/>
    <ds:schemaRef ds:uri="http://purl.org/dc/dcmitype/"/>
  </ds:schemaRefs>
</ds:datastoreItem>
</file>

<file path=customXml/itemProps3.xml><?xml version="1.0" encoding="utf-8"?>
<ds:datastoreItem xmlns:ds="http://schemas.openxmlformats.org/officeDocument/2006/customXml" ds:itemID="{5319E836-0FFE-4751-B116-98B1C729A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ce263-d04c-474d-b9ee-1e6428f1a3d8"/>
    <ds:schemaRef ds:uri="6dd73cd8-8e65-4754-af1d-1258c41e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 Lauren - CEF</dc:creator>
  <cp:keywords/>
  <dc:description/>
  <cp:lastModifiedBy>Hewings, Debbie - S&amp;CS</cp:lastModifiedBy>
  <cp:revision>2</cp:revision>
  <dcterms:created xsi:type="dcterms:W3CDTF">2021-06-16T10:36:00Z</dcterms:created>
  <dcterms:modified xsi:type="dcterms:W3CDTF">2021-06-16T10:36:00Z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