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E2CB1" w14:textId="674E2903" w:rsidR="006178C4" w:rsidRPr="00045E35" w:rsidRDefault="00D45CD6" w:rsidP="00045E35">
      <w:pPr>
        <w:spacing w:before="91"/>
        <w:outlineLvl w:val="0"/>
        <w:rPr>
          <w:bCs/>
          <w:sz w:val="28"/>
          <w:szCs w:val="32"/>
        </w:rPr>
      </w:pPr>
      <w:r w:rsidRPr="00045E35">
        <w:rPr>
          <w:b/>
          <w:bCs/>
          <w:sz w:val="28"/>
          <w:szCs w:val="32"/>
        </w:rPr>
        <w:tab/>
      </w:r>
      <w:r w:rsidRPr="00045E35">
        <w:rPr>
          <w:b/>
          <w:bCs/>
          <w:sz w:val="28"/>
          <w:szCs w:val="32"/>
        </w:rPr>
        <w:tab/>
      </w:r>
      <w:r w:rsidRPr="00045E35">
        <w:rPr>
          <w:b/>
          <w:bCs/>
          <w:sz w:val="28"/>
          <w:szCs w:val="32"/>
        </w:rPr>
        <w:tab/>
      </w:r>
      <w:r w:rsidRPr="00045E35">
        <w:rPr>
          <w:b/>
          <w:bCs/>
          <w:sz w:val="28"/>
          <w:szCs w:val="32"/>
        </w:rPr>
        <w:tab/>
      </w:r>
      <w:bookmarkStart w:id="0" w:name="_Hlk83195566"/>
      <w:bookmarkEnd w:id="0"/>
      <w:r w:rsidR="006178C4" w:rsidRPr="00045E35">
        <w:rPr>
          <w:b/>
          <w:bCs/>
          <w:noProof/>
          <w:sz w:val="32"/>
          <w:szCs w:val="32"/>
        </w:rPr>
        <w:drawing>
          <wp:anchor distT="0" distB="0" distL="114300" distR="114300" simplePos="0" relativeHeight="251656192" behindDoc="0" locked="0" layoutInCell="1" allowOverlap="1" wp14:anchorId="1D467F38" wp14:editId="348B4709">
            <wp:simplePos x="0" y="0"/>
            <wp:positionH relativeFrom="column">
              <wp:posOffset>4645660</wp:posOffset>
            </wp:positionH>
            <wp:positionV relativeFrom="paragraph">
              <wp:posOffset>-765175</wp:posOffset>
            </wp:positionV>
            <wp:extent cx="1716346" cy="437440"/>
            <wp:effectExtent l="0" t="0" r="0"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l="2991" t="32570" r="3113" b="35524"/>
                    <a:stretch/>
                  </pic:blipFill>
                  <pic:spPr bwMode="auto">
                    <a:xfrm>
                      <a:off x="0" y="0"/>
                      <a:ext cx="1716346" cy="437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78C4" w:rsidRPr="00045E35">
        <w:rPr>
          <w:b/>
          <w:bCs/>
          <w:sz w:val="28"/>
          <w:szCs w:val="32"/>
        </w:rPr>
        <w:t xml:space="preserve">CABINET REPORT   </w:t>
      </w:r>
    </w:p>
    <w:p w14:paraId="23B54823" w14:textId="77777777" w:rsidR="006178C4" w:rsidRPr="00D45CD6" w:rsidRDefault="006178C4" w:rsidP="00045E35">
      <w:pPr>
        <w:ind w:left="-284"/>
        <w:rPr>
          <w:b/>
          <w:sz w:val="28"/>
        </w:rPr>
      </w:pPr>
    </w:p>
    <w:p w14:paraId="7C9D2547" w14:textId="77777777" w:rsidR="006178C4" w:rsidRPr="006178C4" w:rsidRDefault="006178C4" w:rsidP="006178C4">
      <w:pPr>
        <w:ind w:left="-284"/>
        <w:jc w:val="center"/>
        <w:rPr>
          <w:b/>
          <w:sz w:val="28"/>
        </w:rPr>
      </w:pPr>
      <w:r w:rsidRPr="006178C4">
        <w:rPr>
          <w:b/>
          <w:sz w:val="28"/>
        </w:rPr>
        <w:t>BUSINESS MANAGEMENT AND MONITORING REPORT</w:t>
      </w:r>
    </w:p>
    <w:p w14:paraId="33AC0855" w14:textId="6C7C584E" w:rsidR="006178C4" w:rsidRPr="006178C4" w:rsidRDefault="000A0D0F" w:rsidP="006178C4">
      <w:pPr>
        <w:ind w:left="-284"/>
        <w:jc w:val="center"/>
        <w:rPr>
          <w:b/>
          <w:sz w:val="28"/>
        </w:rPr>
      </w:pPr>
      <w:r>
        <w:rPr>
          <w:b/>
          <w:sz w:val="28"/>
        </w:rPr>
        <w:t>July</w:t>
      </w:r>
      <w:r w:rsidR="006178C4">
        <w:rPr>
          <w:b/>
          <w:sz w:val="28"/>
        </w:rPr>
        <w:t xml:space="preserve"> 2022</w:t>
      </w:r>
    </w:p>
    <w:p w14:paraId="69C88250" w14:textId="21BC1219" w:rsidR="006178C4" w:rsidRPr="006178C4" w:rsidRDefault="006178C4" w:rsidP="006178C4">
      <w:pPr>
        <w:ind w:left="-284"/>
        <w:jc w:val="center"/>
        <w:rPr>
          <w:b/>
          <w:sz w:val="28"/>
        </w:rPr>
      </w:pPr>
      <w:r w:rsidRPr="006178C4">
        <w:rPr>
          <w:b/>
          <w:sz w:val="28"/>
        </w:rPr>
        <w:t xml:space="preserve">Report by </w:t>
      </w:r>
      <w:r w:rsidR="00AD36C2">
        <w:rPr>
          <w:b/>
          <w:sz w:val="28"/>
        </w:rPr>
        <w:t xml:space="preserve">the </w:t>
      </w:r>
      <w:r w:rsidRPr="006178C4">
        <w:rPr>
          <w:b/>
          <w:sz w:val="28"/>
        </w:rPr>
        <w:t>Corporate Director for Customers</w:t>
      </w:r>
      <w:r w:rsidR="00AD36C2">
        <w:rPr>
          <w:b/>
          <w:sz w:val="28"/>
        </w:rPr>
        <w:t>,</w:t>
      </w:r>
      <w:r w:rsidRPr="006178C4">
        <w:rPr>
          <w:b/>
          <w:sz w:val="28"/>
        </w:rPr>
        <w:t xml:space="preserve"> Organisational Development </w:t>
      </w:r>
      <w:r w:rsidR="00AD36C2">
        <w:rPr>
          <w:b/>
          <w:sz w:val="28"/>
        </w:rPr>
        <w:t xml:space="preserve">&amp; </w:t>
      </w:r>
      <w:proofErr w:type="gramStart"/>
      <w:r w:rsidR="00AD36C2">
        <w:rPr>
          <w:b/>
          <w:sz w:val="28"/>
        </w:rPr>
        <w:t>Resource</w:t>
      </w:r>
      <w:r w:rsidR="00CE5B1F">
        <w:rPr>
          <w:b/>
          <w:sz w:val="28"/>
        </w:rPr>
        <w:t>s</w:t>
      </w:r>
      <w:proofErr w:type="gramEnd"/>
      <w:r w:rsidR="00AD36C2">
        <w:rPr>
          <w:b/>
          <w:sz w:val="28"/>
        </w:rPr>
        <w:t xml:space="preserve"> </w:t>
      </w:r>
      <w:r w:rsidRPr="006178C4">
        <w:rPr>
          <w:b/>
          <w:sz w:val="28"/>
        </w:rPr>
        <w:t>and</w:t>
      </w:r>
      <w:r w:rsidR="00AD36C2">
        <w:rPr>
          <w:b/>
          <w:sz w:val="28"/>
        </w:rPr>
        <w:t xml:space="preserve"> the</w:t>
      </w:r>
      <w:r w:rsidRPr="006178C4">
        <w:rPr>
          <w:b/>
          <w:sz w:val="28"/>
        </w:rPr>
        <w:t xml:space="preserve"> Director of Finance</w:t>
      </w:r>
    </w:p>
    <w:p w14:paraId="4C3C244F" w14:textId="77777777" w:rsidR="006178C4" w:rsidRPr="006178C4" w:rsidRDefault="006178C4" w:rsidP="006178C4">
      <w:pPr>
        <w:ind w:left="-284"/>
        <w:rPr>
          <w:b/>
          <w:sz w:val="28"/>
        </w:rPr>
      </w:pPr>
    </w:p>
    <w:p w14:paraId="3A49BE18" w14:textId="0BCBD846" w:rsidR="006178C4" w:rsidRDefault="006178C4" w:rsidP="004C1FCE">
      <w:pPr>
        <w:ind w:left="284" w:hanging="284"/>
        <w:jc w:val="both"/>
        <w:rPr>
          <w:b/>
          <w:sz w:val="28"/>
          <w:szCs w:val="28"/>
        </w:rPr>
      </w:pPr>
      <w:r w:rsidRPr="006178C4">
        <w:rPr>
          <w:b/>
          <w:sz w:val="28"/>
          <w:szCs w:val="28"/>
        </w:rPr>
        <w:t>RECOMMENDATION</w:t>
      </w:r>
    </w:p>
    <w:p w14:paraId="1C3FC0DF" w14:textId="4AEC8CC4" w:rsidR="002946FF" w:rsidRDefault="002946FF" w:rsidP="004C1FCE">
      <w:pPr>
        <w:ind w:left="284" w:hanging="284"/>
        <w:jc w:val="both"/>
        <w:rPr>
          <w:b/>
          <w:sz w:val="28"/>
          <w:szCs w:val="28"/>
        </w:rPr>
      </w:pPr>
    </w:p>
    <w:p w14:paraId="6FE10FCB" w14:textId="0A3861C2" w:rsidR="00E57EA0" w:rsidRPr="00E57EA0" w:rsidRDefault="00E57EA0" w:rsidP="00137440">
      <w:pPr>
        <w:widowControl/>
        <w:autoSpaceDE/>
        <w:autoSpaceDN/>
        <w:rPr>
          <w:rFonts w:eastAsia="Times New Roman"/>
          <w:b/>
          <w:sz w:val="24"/>
          <w:szCs w:val="24"/>
        </w:rPr>
      </w:pPr>
      <w:r w:rsidRPr="00E57EA0">
        <w:rPr>
          <w:rFonts w:eastAsia="Times New Roman"/>
          <w:b/>
          <w:sz w:val="24"/>
          <w:szCs w:val="24"/>
        </w:rPr>
        <w:t xml:space="preserve">The </w:t>
      </w:r>
      <w:r>
        <w:rPr>
          <w:rFonts w:eastAsia="Times New Roman"/>
          <w:b/>
          <w:sz w:val="24"/>
          <w:szCs w:val="24"/>
        </w:rPr>
        <w:t xml:space="preserve">Cabinet </w:t>
      </w:r>
      <w:r w:rsidRPr="00E57EA0">
        <w:rPr>
          <w:rFonts w:eastAsia="Times New Roman"/>
          <w:b/>
          <w:sz w:val="24"/>
          <w:szCs w:val="24"/>
        </w:rPr>
        <w:t>is RECOMMENDED to</w:t>
      </w:r>
    </w:p>
    <w:p w14:paraId="633D8A39" w14:textId="77777777" w:rsidR="00E57EA0" w:rsidRPr="006178C4" w:rsidRDefault="00E57EA0" w:rsidP="004C1FCE">
      <w:pPr>
        <w:ind w:left="284" w:hanging="284"/>
        <w:jc w:val="both"/>
        <w:rPr>
          <w:b/>
          <w:sz w:val="28"/>
          <w:szCs w:val="28"/>
        </w:rPr>
      </w:pPr>
    </w:p>
    <w:p w14:paraId="59282CA1" w14:textId="4E026CBF" w:rsidR="006178C4" w:rsidRPr="00F134C1" w:rsidRDefault="006178C4" w:rsidP="004430AE">
      <w:pPr>
        <w:pStyle w:val="ListParagraph"/>
        <w:widowControl/>
        <w:numPr>
          <w:ilvl w:val="0"/>
          <w:numId w:val="37"/>
        </w:numPr>
        <w:autoSpaceDE/>
        <w:autoSpaceDN/>
        <w:rPr>
          <w:rFonts w:eastAsia="Times New Roman"/>
          <w:sz w:val="24"/>
          <w:szCs w:val="24"/>
          <w:highlight w:val="green"/>
        </w:rPr>
      </w:pPr>
      <w:r w:rsidRPr="00F134C1">
        <w:rPr>
          <w:rFonts w:eastAsia="Times New Roman"/>
          <w:sz w:val="24"/>
          <w:szCs w:val="24"/>
          <w:highlight w:val="green"/>
        </w:rPr>
        <w:t>note the report.</w:t>
      </w:r>
    </w:p>
    <w:p w14:paraId="4AE6F98E" w14:textId="63587DC9" w:rsidR="002946FF" w:rsidRPr="00F134C1" w:rsidRDefault="00E605A2" w:rsidP="004430AE">
      <w:pPr>
        <w:pStyle w:val="ListParagraph"/>
        <w:widowControl/>
        <w:numPr>
          <w:ilvl w:val="0"/>
          <w:numId w:val="37"/>
        </w:numPr>
        <w:autoSpaceDE/>
        <w:autoSpaceDN/>
        <w:rPr>
          <w:rFonts w:eastAsia="Times New Roman"/>
          <w:sz w:val="24"/>
          <w:szCs w:val="24"/>
          <w:highlight w:val="green"/>
        </w:rPr>
      </w:pPr>
      <w:r w:rsidRPr="00F134C1">
        <w:rPr>
          <w:rFonts w:eastAsia="Times New Roman"/>
          <w:sz w:val="24"/>
          <w:szCs w:val="24"/>
          <w:highlight w:val="green"/>
        </w:rPr>
        <w:t>agree</w:t>
      </w:r>
      <w:r w:rsidR="002946FF" w:rsidRPr="00F134C1">
        <w:rPr>
          <w:rFonts w:eastAsia="Times New Roman"/>
          <w:sz w:val="24"/>
          <w:szCs w:val="24"/>
          <w:highlight w:val="green"/>
        </w:rPr>
        <w:t xml:space="preserve"> </w:t>
      </w:r>
      <w:r w:rsidR="0067118C" w:rsidRPr="00F134C1">
        <w:rPr>
          <w:rFonts w:eastAsia="Times New Roman"/>
          <w:sz w:val="24"/>
          <w:szCs w:val="24"/>
          <w:highlight w:val="green"/>
        </w:rPr>
        <w:t xml:space="preserve">the </w:t>
      </w:r>
      <w:r w:rsidR="002946FF" w:rsidRPr="00F134C1">
        <w:rPr>
          <w:rFonts w:eastAsia="Times New Roman"/>
          <w:sz w:val="24"/>
          <w:szCs w:val="24"/>
          <w:highlight w:val="green"/>
        </w:rPr>
        <w:t xml:space="preserve">virements set out in Annex </w:t>
      </w:r>
      <w:r w:rsidR="00030915" w:rsidRPr="00F134C1">
        <w:rPr>
          <w:rFonts w:eastAsia="Times New Roman"/>
          <w:sz w:val="24"/>
          <w:szCs w:val="24"/>
          <w:highlight w:val="green"/>
        </w:rPr>
        <w:t>B</w:t>
      </w:r>
      <w:r w:rsidR="002946FF" w:rsidRPr="00F134C1">
        <w:rPr>
          <w:rFonts w:eastAsia="Times New Roman"/>
          <w:sz w:val="24"/>
          <w:szCs w:val="24"/>
          <w:highlight w:val="green"/>
        </w:rPr>
        <w:t>-2</w:t>
      </w:r>
      <w:r w:rsidRPr="00F134C1">
        <w:rPr>
          <w:rFonts w:eastAsia="Times New Roman"/>
          <w:sz w:val="24"/>
          <w:szCs w:val="24"/>
          <w:highlight w:val="green"/>
        </w:rPr>
        <w:t>a</w:t>
      </w:r>
    </w:p>
    <w:p w14:paraId="1A008A97" w14:textId="6A1503F7" w:rsidR="002946FF" w:rsidRPr="00F134C1" w:rsidRDefault="00C81A29" w:rsidP="004430AE">
      <w:pPr>
        <w:pStyle w:val="ListParagraph"/>
        <w:widowControl/>
        <w:numPr>
          <w:ilvl w:val="0"/>
          <w:numId w:val="37"/>
        </w:numPr>
        <w:autoSpaceDE/>
        <w:autoSpaceDN/>
        <w:rPr>
          <w:rFonts w:eastAsia="Times New Roman"/>
          <w:sz w:val="24"/>
          <w:szCs w:val="24"/>
          <w:highlight w:val="green"/>
        </w:rPr>
      </w:pPr>
      <w:r w:rsidRPr="00F134C1">
        <w:rPr>
          <w:rFonts w:eastAsia="Times New Roman"/>
          <w:sz w:val="24"/>
          <w:szCs w:val="24"/>
          <w:highlight w:val="green"/>
        </w:rPr>
        <w:t>n</w:t>
      </w:r>
      <w:r w:rsidR="002946FF" w:rsidRPr="00F134C1">
        <w:rPr>
          <w:rFonts w:eastAsia="Times New Roman"/>
          <w:sz w:val="24"/>
          <w:szCs w:val="24"/>
          <w:highlight w:val="green"/>
        </w:rPr>
        <w:t xml:space="preserve">ote </w:t>
      </w:r>
      <w:r w:rsidR="0067118C" w:rsidRPr="00F134C1">
        <w:rPr>
          <w:rFonts w:eastAsia="Times New Roman"/>
          <w:sz w:val="24"/>
          <w:szCs w:val="24"/>
          <w:highlight w:val="green"/>
        </w:rPr>
        <w:t xml:space="preserve">the </w:t>
      </w:r>
      <w:r w:rsidR="002946FF" w:rsidRPr="00F134C1">
        <w:rPr>
          <w:rFonts w:eastAsia="Times New Roman"/>
          <w:sz w:val="24"/>
          <w:szCs w:val="24"/>
          <w:highlight w:val="green"/>
        </w:rPr>
        <w:t xml:space="preserve">virements </w:t>
      </w:r>
      <w:r w:rsidR="00392A20" w:rsidRPr="00F134C1">
        <w:rPr>
          <w:rFonts w:eastAsia="Times New Roman"/>
          <w:sz w:val="24"/>
          <w:szCs w:val="24"/>
          <w:highlight w:val="green"/>
        </w:rPr>
        <w:t xml:space="preserve">and supplementary estimate </w:t>
      </w:r>
      <w:r w:rsidR="002946FF" w:rsidRPr="00F134C1">
        <w:rPr>
          <w:rFonts w:eastAsia="Times New Roman"/>
          <w:sz w:val="24"/>
          <w:szCs w:val="24"/>
          <w:highlight w:val="green"/>
        </w:rPr>
        <w:t xml:space="preserve">set out in Annex </w:t>
      </w:r>
      <w:r w:rsidR="00030915" w:rsidRPr="00F134C1">
        <w:rPr>
          <w:rFonts w:eastAsia="Times New Roman"/>
          <w:sz w:val="24"/>
          <w:szCs w:val="24"/>
          <w:highlight w:val="green"/>
        </w:rPr>
        <w:t>B</w:t>
      </w:r>
      <w:r w:rsidR="002946FF" w:rsidRPr="00F134C1">
        <w:rPr>
          <w:rFonts w:eastAsia="Times New Roman"/>
          <w:sz w:val="24"/>
          <w:szCs w:val="24"/>
          <w:highlight w:val="green"/>
        </w:rPr>
        <w:t>-2</w:t>
      </w:r>
      <w:r w:rsidR="00E605A2" w:rsidRPr="00F134C1">
        <w:rPr>
          <w:rFonts w:eastAsia="Times New Roman"/>
          <w:sz w:val="24"/>
          <w:szCs w:val="24"/>
          <w:highlight w:val="green"/>
        </w:rPr>
        <w:t>b</w:t>
      </w:r>
      <w:r w:rsidR="00392A20" w:rsidRPr="00F134C1">
        <w:rPr>
          <w:rFonts w:eastAsia="Times New Roman"/>
          <w:sz w:val="24"/>
          <w:szCs w:val="24"/>
          <w:highlight w:val="green"/>
        </w:rPr>
        <w:t xml:space="preserve"> and B-2c</w:t>
      </w:r>
    </w:p>
    <w:p w14:paraId="4A2631A8" w14:textId="582D1D91" w:rsidR="002946FF" w:rsidRPr="00F134C1" w:rsidRDefault="0040533D" w:rsidP="004430AE">
      <w:pPr>
        <w:pStyle w:val="ListParagraph"/>
        <w:widowControl/>
        <w:numPr>
          <w:ilvl w:val="0"/>
          <w:numId w:val="37"/>
        </w:numPr>
        <w:autoSpaceDE/>
        <w:autoSpaceDN/>
        <w:rPr>
          <w:rFonts w:eastAsia="Times New Roman"/>
          <w:sz w:val="24"/>
          <w:szCs w:val="24"/>
          <w:highlight w:val="green"/>
        </w:rPr>
      </w:pPr>
      <w:r w:rsidRPr="00F134C1">
        <w:rPr>
          <w:rFonts w:eastAsia="Times New Roman"/>
          <w:sz w:val="24"/>
          <w:szCs w:val="24"/>
          <w:highlight w:val="green"/>
        </w:rPr>
        <w:t>agree</w:t>
      </w:r>
      <w:r w:rsidR="002946FF" w:rsidRPr="00F134C1">
        <w:rPr>
          <w:rFonts w:eastAsia="Times New Roman"/>
          <w:sz w:val="24"/>
          <w:szCs w:val="24"/>
          <w:highlight w:val="green"/>
        </w:rPr>
        <w:t xml:space="preserve"> the </w:t>
      </w:r>
      <w:r w:rsidR="0067118C" w:rsidRPr="00F134C1">
        <w:rPr>
          <w:rFonts w:eastAsia="Times New Roman"/>
          <w:sz w:val="24"/>
          <w:szCs w:val="24"/>
          <w:highlight w:val="green"/>
        </w:rPr>
        <w:t>proposed</w:t>
      </w:r>
      <w:r w:rsidR="002F338D" w:rsidRPr="00F134C1">
        <w:rPr>
          <w:rFonts w:eastAsia="Times New Roman"/>
          <w:sz w:val="24"/>
          <w:szCs w:val="24"/>
          <w:highlight w:val="green"/>
        </w:rPr>
        <w:tab/>
        <w:t xml:space="preserve">update to the </w:t>
      </w:r>
      <w:r w:rsidR="002946FF" w:rsidRPr="00F134C1">
        <w:rPr>
          <w:rFonts w:eastAsia="Times New Roman"/>
          <w:sz w:val="24"/>
          <w:szCs w:val="24"/>
          <w:highlight w:val="green"/>
        </w:rPr>
        <w:t>Review</w:t>
      </w:r>
      <w:r w:rsidR="0067118C" w:rsidRPr="00F134C1">
        <w:rPr>
          <w:rFonts w:eastAsia="Times New Roman"/>
          <w:sz w:val="24"/>
          <w:szCs w:val="24"/>
          <w:highlight w:val="green"/>
        </w:rPr>
        <w:t xml:space="preserve"> of Charges for 2022/23</w:t>
      </w:r>
      <w:r w:rsidR="002946FF" w:rsidRPr="00F134C1">
        <w:rPr>
          <w:rFonts w:eastAsia="Times New Roman"/>
          <w:sz w:val="24"/>
          <w:szCs w:val="24"/>
          <w:highlight w:val="green"/>
        </w:rPr>
        <w:t xml:space="preserve"> </w:t>
      </w:r>
      <w:r w:rsidR="005C01AB" w:rsidRPr="00F134C1">
        <w:rPr>
          <w:rFonts w:eastAsia="Times New Roman"/>
          <w:sz w:val="24"/>
          <w:szCs w:val="24"/>
          <w:highlight w:val="green"/>
        </w:rPr>
        <w:t xml:space="preserve">as </w:t>
      </w:r>
      <w:r w:rsidR="002946FF" w:rsidRPr="00F134C1">
        <w:rPr>
          <w:rFonts w:eastAsia="Times New Roman"/>
          <w:sz w:val="24"/>
          <w:szCs w:val="24"/>
          <w:highlight w:val="green"/>
        </w:rPr>
        <w:t xml:space="preserve">set out in </w:t>
      </w:r>
      <w:r w:rsidRPr="00F134C1">
        <w:rPr>
          <w:rFonts w:eastAsia="Times New Roman"/>
          <w:sz w:val="24"/>
          <w:szCs w:val="24"/>
          <w:highlight w:val="green"/>
        </w:rPr>
        <w:t xml:space="preserve">paragraphs </w:t>
      </w:r>
      <w:r w:rsidR="00221FC3" w:rsidRPr="00F134C1">
        <w:rPr>
          <w:rFonts w:eastAsia="Times New Roman"/>
          <w:sz w:val="24"/>
          <w:szCs w:val="24"/>
          <w:highlight w:val="green"/>
        </w:rPr>
        <w:t>9</w:t>
      </w:r>
      <w:r w:rsidR="006B5F2A" w:rsidRPr="00F134C1">
        <w:rPr>
          <w:rFonts w:eastAsia="Times New Roman"/>
          <w:sz w:val="24"/>
          <w:szCs w:val="24"/>
          <w:highlight w:val="green"/>
        </w:rPr>
        <w:t>4</w:t>
      </w:r>
      <w:r w:rsidRPr="00F134C1">
        <w:rPr>
          <w:rFonts w:eastAsia="Times New Roman"/>
          <w:sz w:val="24"/>
          <w:szCs w:val="24"/>
          <w:highlight w:val="green"/>
        </w:rPr>
        <w:t xml:space="preserve"> and </w:t>
      </w:r>
      <w:r w:rsidR="00BF750C" w:rsidRPr="00F134C1">
        <w:rPr>
          <w:rFonts w:eastAsia="Times New Roman"/>
          <w:sz w:val="24"/>
          <w:szCs w:val="24"/>
          <w:highlight w:val="green"/>
        </w:rPr>
        <w:t>9</w:t>
      </w:r>
      <w:r w:rsidR="006B5F2A" w:rsidRPr="00F134C1">
        <w:rPr>
          <w:rFonts w:eastAsia="Times New Roman"/>
          <w:sz w:val="24"/>
          <w:szCs w:val="24"/>
          <w:highlight w:val="green"/>
        </w:rPr>
        <w:t>5</w:t>
      </w:r>
      <w:r w:rsidR="002B50F7" w:rsidRPr="00F134C1">
        <w:rPr>
          <w:rFonts w:eastAsia="Times New Roman"/>
          <w:sz w:val="24"/>
          <w:szCs w:val="24"/>
          <w:highlight w:val="green"/>
        </w:rPr>
        <w:t xml:space="preserve"> of Annex </w:t>
      </w:r>
      <w:r w:rsidR="00030915" w:rsidRPr="00F134C1">
        <w:rPr>
          <w:rFonts w:eastAsia="Times New Roman"/>
          <w:sz w:val="24"/>
          <w:szCs w:val="24"/>
          <w:highlight w:val="green"/>
        </w:rPr>
        <w:t>B</w:t>
      </w:r>
      <w:r w:rsidR="002B50F7" w:rsidRPr="00F134C1">
        <w:rPr>
          <w:rFonts w:eastAsia="Times New Roman"/>
          <w:sz w:val="24"/>
          <w:szCs w:val="24"/>
          <w:highlight w:val="green"/>
        </w:rPr>
        <w:t>.</w:t>
      </w:r>
    </w:p>
    <w:p w14:paraId="03028E62" w14:textId="6AE76740" w:rsidR="00997366" w:rsidRPr="00F134C1" w:rsidRDefault="007E17DF" w:rsidP="004430AE">
      <w:pPr>
        <w:pStyle w:val="ListParagraph"/>
        <w:widowControl/>
        <w:numPr>
          <w:ilvl w:val="0"/>
          <w:numId w:val="37"/>
        </w:numPr>
        <w:autoSpaceDE/>
        <w:autoSpaceDN/>
        <w:rPr>
          <w:rFonts w:eastAsia="Times New Roman"/>
          <w:sz w:val="24"/>
          <w:szCs w:val="24"/>
          <w:highlight w:val="green"/>
        </w:rPr>
      </w:pPr>
      <w:r w:rsidRPr="00F134C1">
        <w:rPr>
          <w:rFonts w:eastAsia="Times New Roman"/>
          <w:sz w:val="24"/>
          <w:szCs w:val="24"/>
          <w:highlight w:val="green"/>
        </w:rPr>
        <w:t>n</w:t>
      </w:r>
      <w:r w:rsidR="00997366" w:rsidRPr="00F134C1">
        <w:rPr>
          <w:rFonts w:eastAsia="Times New Roman"/>
          <w:sz w:val="24"/>
          <w:szCs w:val="24"/>
          <w:highlight w:val="green"/>
        </w:rPr>
        <w:t xml:space="preserve">ote the additional </w:t>
      </w:r>
      <w:r w:rsidR="005C01AB" w:rsidRPr="00F134C1">
        <w:rPr>
          <w:rFonts w:eastAsia="Times New Roman"/>
          <w:sz w:val="24"/>
          <w:szCs w:val="24"/>
          <w:highlight w:val="green"/>
        </w:rPr>
        <w:t xml:space="preserve">£5.9m </w:t>
      </w:r>
      <w:r w:rsidR="00997366" w:rsidRPr="00F134C1">
        <w:rPr>
          <w:rFonts w:eastAsia="Times New Roman"/>
          <w:sz w:val="24"/>
          <w:szCs w:val="24"/>
          <w:highlight w:val="green"/>
        </w:rPr>
        <w:t xml:space="preserve">Business Rate funding set out in Annex </w:t>
      </w:r>
      <w:r w:rsidR="00030915" w:rsidRPr="00F134C1">
        <w:rPr>
          <w:rFonts w:eastAsia="Times New Roman"/>
          <w:sz w:val="24"/>
          <w:szCs w:val="24"/>
          <w:highlight w:val="green"/>
        </w:rPr>
        <w:t xml:space="preserve">B </w:t>
      </w:r>
      <w:r w:rsidR="00997366" w:rsidRPr="00F134C1">
        <w:rPr>
          <w:rFonts w:eastAsia="Times New Roman"/>
          <w:sz w:val="24"/>
          <w:szCs w:val="24"/>
          <w:highlight w:val="green"/>
        </w:rPr>
        <w:t>paragraph 1</w:t>
      </w:r>
      <w:r w:rsidR="001F09C4" w:rsidRPr="00F134C1">
        <w:rPr>
          <w:rFonts w:eastAsia="Times New Roman"/>
          <w:sz w:val="24"/>
          <w:szCs w:val="24"/>
          <w:highlight w:val="green"/>
        </w:rPr>
        <w:t>30</w:t>
      </w:r>
      <w:r w:rsidR="00846464" w:rsidRPr="00F134C1">
        <w:rPr>
          <w:rFonts w:eastAsia="Times New Roman"/>
          <w:sz w:val="24"/>
          <w:szCs w:val="24"/>
          <w:highlight w:val="green"/>
        </w:rPr>
        <w:t xml:space="preserve"> </w:t>
      </w:r>
      <w:r w:rsidR="00997366" w:rsidRPr="00F134C1">
        <w:rPr>
          <w:rFonts w:eastAsia="Times New Roman"/>
          <w:sz w:val="24"/>
          <w:szCs w:val="24"/>
          <w:highlight w:val="green"/>
        </w:rPr>
        <w:t xml:space="preserve">and agree that this should be </w:t>
      </w:r>
      <w:r w:rsidR="00997366" w:rsidRPr="00F134C1">
        <w:rPr>
          <w:rFonts w:eastAsia="Times New Roman" w:cs="Times New Roman"/>
          <w:iCs/>
          <w:sz w:val="24"/>
          <w:szCs w:val="24"/>
          <w:highlight w:val="green"/>
        </w:rPr>
        <w:t>added to the Business Rates Reserve pending agreement about the use of this funding.</w:t>
      </w:r>
    </w:p>
    <w:p w14:paraId="0E7D81D3" w14:textId="77777777" w:rsidR="002946FF" w:rsidRDefault="002946FF" w:rsidP="002946FF">
      <w:pPr>
        <w:spacing w:line="276" w:lineRule="auto"/>
        <w:ind w:left="284" w:hanging="284"/>
        <w:jc w:val="both"/>
        <w:rPr>
          <w:b/>
          <w:sz w:val="24"/>
          <w:szCs w:val="24"/>
        </w:rPr>
      </w:pPr>
    </w:p>
    <w:p w14:paraId="7B6C0144" w14:textId="15DB05E3" w:rsidR="006178C4" w:rsidRPr="006178C4" w:rsidRDefault="006178C4" w:rsidP="002946FF">
      <w:pPr>
        <w:ind w:left="284" w:hanging="284"/>
        <w:jc w:val="both"/>
        <w:rPr>
          <w:b/>
          <w:sz w:val="28"/>
          <w:szCs w:val="28"/>
        </w:rPr>
      </w:pPr>
      <w:r w:rsidRPr="006178C4">
        <w:rPr>
          <w:b/>
          <w:sz w:val="28"/>
          <w:szCs w:val="28"/>
        </w:rPr>
        <w:t>Executive Summary</w:t>
      </w:r>
    </w:p>
    <w:p w14:paraId="7979904D" w14:textId="77777777" w:rsidR="006178C4" w:rsidRPr="006178C4" w:rsidRDefault="006178C4" w:rsidP="004C1FCE">
      <w:pPr>
        <w:ind w:left="284" w:hanging="284"/>
        <w:jc w:val="both"/>
        <w:rPr>
          <w:b/>
          <w:sz w:val="24"/>
          <w:szCs w:val="24"/>
        </w:rPr>
      </w:pPr>
    </w:p>
    <w:p w14:paraId="47A1CAE4" w14:textId="647BDB20" w:rsidR="006178C4" w:rsidRPr="007459EB" w:rsidRDefault="006178C4" w:rsidP="007459EB">
      <w:pPr>
        <w:pStyle w:val="ListParagraph"/>
        <w:widowControl/>
        <w:numPr>
          <w:ilvl w:val="0"/>
          <w:numId w:val="37"/>
        </w:numPr>
        <w:autoSpaceDE/>
        <w:autoSpaceDN/>
        <w:rPr>
          <w:rFonts w:eastAsia="Times New Roman"/>
          <w:sz w:val="24"/>
          <w:szCs w:val="24"/>
        </w:rPr>
      </w:pPr>
      <w:r w:rsidRPr="007459EB">
        <w:rPr>
          <w:rFonts w:eastAsia="Times New Roman"/>
          <w:sz w:val="24"/>
          <w:szCs w:val="24"/>
        </w:rPr>
        <w:t xml:space="preserve">This report presents </w:t>
      </w:r>
      <w:r w:rsidR="0033411E" w:rsidRPr="007459EB">
        <w:rPr>
          <w:rFonts w:eastAsia="Times New Roman"/>
          <w:sz w:val="24"/>
          <w:szCs w:val="24"/>
        </w:rPr>
        <w:t xml:space="preserve">the </w:t>
      </w:r>
      <w:r w:rsidR="00F134C1">
        <w:rPr>
          <w:rFonts w:eastAsia="Times New Roman"/>
          <w:sz w:val="24"/>
          <w:szCs w:val="24"/>
        </w:rPr>
        <w:t>Jul</w:t>
      </w:r>
      <w:r w:rsidR="00F770DE" w:rsidRPr="007459EB">
        <w:rPr>
          <w:rFonts w:eastAsia="Times New Roman"/>
          <w:sz w:val="24"/>
          <w:szCs w:val="24"/>
        </w:rPr>
        <w:t>y</w:t>
      </w:r>
      <w:r w:rsidRPr="007459EB">
        <w:rPr>
          <w:rFonts w:eastAsia="Times New Roman"/>
          <w:sz w:val="24"/>
          <w:szCs w:val="24"/>
        </w:rPr>
        <w:t xml:space="preserve"> 2022 performance</w:t>
      </w:r>
      <w:r w:rsidR="00F562C1">
        <w:rPr>
          <w:rFonts w:eastAsia="Times New Roman"/>
          <w:sz w:val="24"/>
          <w:szCs w:val="24"/>
        </w:rPr>
        <w:t xml:space="preserve"> </w:t>
      </w:r>
      <w:r w:rsidRPr="007459EB">
        <w:rPr>
          <w:rFonts w:eastAsia="Times New Roman"/>
          <w:sz w:val="24"/>
          <w:szCs w:val="24"/>
        </w:rPr>
        <w:t>and finance position for the Council.</w:t>
      </w:r>
    </w:p>
    <w:p w14:paraId="24F15C7B" w14:textId="77777777" w:rsidR="006178C4" w:rsidRPr="00E57EA0" w:rsidRDefault="006178C4" w:rsidP="00E57EA0">
      <w:pPr>
        <w:widowControl/>
        <w:tabs>
          <w:tab w:val="num" w:pos="720"/>
        </w:tabs>
        <w:autoSpaceDE/>
        <w:autoSpaceDN/>
        <w:ind w:left="720" w:hanging="720"/>
        <w:jc w:val="both"/>
        <w:rPr>
          <w:rFonts w:eastAsia="Times New Roman"/>
          <w:sz w:val="24"/>
          <w:szCs w:val="24"/>
        </w:rPr>
      </w:pPr>
    </w:p>
    <w:p w14:paraId="08FAB5F8" w14:textId="51E6F0F2" w:rsidR="00E57EA0" w:rsidRDefault="006178C4" w:rsidP="00E57EA0">
      <w:pPr>
        <w:pStyle w:val="ListParagraph"/>
        <w:widowControl/>
        <w:numPr>
          <w:ilvl w:val="0"/>
          <w:numId w:val="37"/>
        </w:numPr>
        <w:autoSpaceDE/>
        <w:autoSpaceDN/>
        <w:rPr>
          <w:rFonts w:eastAsia="Times New Roman"/>
          <w:sz w:val="24"/>
          <w:szCs w:val="24"/>
        </w:rPr>
      </w:pPr>
      <w:r w:rsidRPr="00E57EA0">
        <w:rPr>
          <w:rFonts w:eastAsia="Times New Roman"/>
          <w:sz w:val="24"/>
          <w:szCs w:val="24"/>
        </w:rPr>
        <w:t>The Council recognises the importance of timely, accurate and accessible performance</w:t>
      </w:r>
      <w:r w:rsidR="00F562C1">
        <w:rPr>
          <w:rFonts w:eastAsia="Times New Roman"/>
          <w:sz w:val="24"/>
          <w:szCs w:val="24"/>
        </w:rPr>
        <w:t>, risk overview</w:t>
      </w:r>
      <w:r w:rsidRPr="00E57EA0">
        <w:rPr>
          <w:rFonts w:eastAsia="Times New Roman"/>
          <w:sz w:val="24"/>
          <w:szCs w:val="24"/>
        </w:rPr>
        <w:t xml:space="preserve"> and budget management information as part of its commitment to both transparency and demonstrating efficiency and effectiveness.</w:t>
      </w:r>
    </w:p>
    <w:p w14:paraId="6C4A9949" w14:textId="77777777" w:rsidR="00E57EA0" w:rsidRPr="00E57EA0" w:rsidRDefault="00E57EA0" w:rsidP="00E57EA0">
      <w:pPr>
        <w:pStyle w:val="ListParagraph"/>
        <w:widowControl/>
        <w:tabs>
          <w:tab w:val="num" w:pos="720"/>
        </w:tabs>
        <w:autoSpaceDE/>
        <w:autoSpaceDN/>
        <w:ind w:left="720" w:firstLine="0"/>
        <w:rPr>
          <w:rFonts w:eastAsia="Times New Roman"/>
          <w:sz w:val="24"/>
          <w:szCs w:val="24"/>
        </w:rPr>
      </w:pPr>
    </w:p>
    <w:p w14:paraId="4B7028FC" w14:textId="726A1100" w:rsidR="00E57EA0" w:rsidRDefault="006178C4" w:rsidP="00E57EA0">
      <w:pPr>
        <w:pStyle w:val="ListParagraph"/>
        <w:widowControl/>
        <w:numPr>
          <w:ilvl w:val="0"/>
          <w:numId w:val="37"/>
        </w:numPr>
        <w:autoSpaceDE/>
        <w:autoSpaceDN/>
        <w:rPr>
          <w:rFonts w:eastAsia="Times New Roman"/>
          <w:sz w:val="24"/>
          <w:szCs w:val="24"/>
        </w:rPr>
      </w:pPr>
      <w:r w:rsidRPr="00E57EA0">
        <w:rPr>
          <w:rFonts w:eastAsia="Times New Roman"/>
          <w:sz w:val="24"/>
          <w:szCs w:val="24"/>
        </w:rPr>
        <w:t xml:space="preserve">These business management reports are part of a suite of performance, </w:t>
      </w:r>
      <w:r w:rsidR="00F562C1">
        <w:rPr>
          <w:rFonts w:eastAsia="Times New Roman"/>
          <w:sz w:val="24"/>
          <w:szCs w:val="24"/>
        </w:rPr>
        <w:t xml:space="preserve">risk overview </w:t>
      </w:r>
      <w:r w:rsidRPr="00E57EA0">
        <w:rPr>
          <w:rFonts w:eastAsia="Times New Roman"/>
          <w:sz w:val="24"/>
          <w:szCs w:val="24"/>
        </w:rPr>
        <w:t xml:space="preserve">and budget documents which set out our ambitions, </w:t>
      </w:r>
      <w:proofErr w:type="gramStart"/>
      <w:r w:rsidRPr="00E57EA0">
        <w:rPr>
          <w:rFonts w:eastAsia="Times New Roman"/>
          <w:sz w:val="24"/>
          <w:szCs w:val="24"/>
        </w:rPr>
        <w:t>priorities</w:t>
      </w:r>
      <w:proofErr w:type="gramEnd"/>
      <w:r w:rsidRPr="00E57EA0">
        <w:rPr>
          <w:rFonts w:eastAsia="Times New Roman"/>
          <w:sz w:val="24"/>
          <w:szCs w:val="24"/>
        </w:rPr>
        <w:t xml:space="preserve"> and financial performance. The </w:t>
      </w:r>
      <w:r w:rsidR="00B46CE8" w:rsidRPr="00E57EA0">
        <w:rPr>
          <w:rFonts w:eastAsia="Times New Roman"/>
          <w:sz w:val="24"/>
          <w:szCs w:val="24"/>
        </w:rPr>
        <w:t xml:space="preserve">new 2022 – 2025 Strategic </w:t>
      </w:r>
      <w:r w:rsidRPr="00E57EA0">
        <w:rPr>
          <w:rFonts w:eastAsia="Times New Roman"/>
          <w:sz w:val="24"/>
          <w:szCs w:val="24"/>
        </w:rPr>
        <w:t xml:space="preserve">Plan sets out the Council’s ambitions for the next </w:t>
      </w:r>
      <w:r w:rsidR="00B46CE8" w:rsidRPr="00E57EA0">
        <w:rPr>
          <w:rFonts w:eastAsia="Times New Roman"/>
          <w:sz w:val="24"/>
          <w:szCs w:val="24"/>
        </w:rPr>
        <w:t>four</w:t>
      </w:r>
      <w:r w:rsidRPr="00E57EA0">
        <w:rPr>
          <w:rFonts w:eastAsia="Times New Roman"/>
          <w:sz w:val="24"/>
          <w:szCs w:val="24"/>
        </w:rPr>
        <w:t xml:space="preserve"> years</w:t>
      </w:r>
      <w:r w:rsidR="00B46CE8" w:rsidRPr="00E57EA0">
        <w:rPr>
          <w:rFonts w:eastAsia="Times New Roman"/>
          <w:sz w:val="24"/>
          <w:szCs w:val="24"/>
        </w:rPr>
        <w:t>.</w:t>
      </w:r>
      <w:r w:rsidRPr="00E57EA0">
        <w:rPr>
          <w:rFonts w:eastAsia="Times New Roman"/>
          <w:sz w:val="24"/>
          <w:szCs w:val="24"/>
        </w:rPr>
        <w:t xml:space="preserve"> It also shows our priority activities for the current </w:t>
      </w:r>
      <w:r w:rsidR="00B46CE8" w:rsidRPr="00E57EA0">
        <w:rPr>
          <w:rFonts w:eastAsia="Times New Roman"/>
          <w:sz w:val="24"/>
          <w:szCs w:val="24"/>
        </w:rPr>
        <w:t>financial</w:t>
      </w:r>
      <w:r w:rsidRPr="00E57EA0">
        <w:rPr>
          <w:rFonts w:eastAsia="Times New Roman"/>
          <w:sz w:val="24"/>
          <w:szCs w:val="24"/>
        </w:rPr>
        <w:t xml:space="preserve"> year.</w:t>
      </w:r>
    </w:p>
    <w:p w14:paraId="3E9D9793" w14:textId="77777777" w:rsidR="00E57EA0" w:rsidRPr="00E57EA0" w:rsidRDefault="00E57EA0" w:rsidP="00E57EA0">
      <w:pPr>
        <w:widowControl/>
        <w:tabs>
          <w:tab w:val="num" w:pos="720"/>
        </w:tabs>
        <w:autoSpaceDE/>
        <w:autoSpaceDN/>
        <w:rPr>
          <w:rFonts w:eastAsia="Times New Roman"/>
          <w:sz w:val="24"/>
          <w:szCs w:val="24"/>
        </w:rPr>
      </w:pPr>
    </w:p>
    <w:p w14:paraId="7975A9FA" w14:textId="77777777" w:rsidR="00E57EA0" w:rsidRPr="00E57EA0" w:rsidRDefault="006178C4" w:rsidP="00E57EA0">
      <w:pPr>
        <w:pStyle w:val="ListParagraph"/>
        <w:widowControl/>
        <w:numPr>
          <w:ilvl w:val="0"/>
          <w:numId w:val="37"/>
        </w:numPr>
        <w:autoSpaceDE/>
        <w:autoSpaceDN/>
        <w:rPr>
          <w:rFonts w:eastAsia="Times New Roman"/>
          <w:sz w:val="24"/>
          <w:szCs w:val="24"/>
        </w:rPr>
      </w:pPr>
      <w:r w:rsidRPr="00E57EA0">
        <w:rPr>
          <w:bCs/>
          <w:sz w:val="24"/>
          <w:szCs w:val="24"/>
        </w:rPr>
        <w:t xml:space="preserve">Our </w:t>
      </w:r>
      <w:r w:rsidR="00B46CE8" w:rsidRPr="00E57EA0">
        <w:rPr>
          <w:bCs/>
          <w:sz w:val="24"/>
          <w:szCs w:val="24"/>
        </w:rPr>
        <w:t>new 2022 – 2025 Strategic</w:t>
      </w:r>
      <w:r w:rsidRPr="00E57EA0">
        <w:rPr>
          <w:bCs/>
          <w:sz w:val="24"/>
          <w:szCs w:val="24"/>
        </w:rPr>
        <w:t xml:space="preserve"> Plan, Medium Term Financial Plan, Outcomes </w:t>
      </w:r>
      <w:proofErr w:type="gramStart"/>
      <w:r w:rsidRPr="00E57EA0">
        <w:rPr>
          <w:bCs/>
          <w:sz w:val="24"/>
          <w:szCs w:val="24"/>
        </w:rPr>
        <w:t>Framework</w:t>
      </w:r>
      <w:proofErr w:type="gramEnd"/>
      <w:r w:rsidRPr="00E57EA0">
        <w:rPr>
          <w:bCs/>
          <w:sz w:val="24"/>
          <w:szCs w:val="24"/>
        </w:rPr>
        <w:t xml:space="preserve"> and business management reports, can be found on the Council’s website</w:t>
      </w:r>
      <w:r w:rsidR="00B46CE8" w:rsidRPr="00E57EA0">
        <w:rPr>
          <w:bCs/>
          <w:sz w:val="24"/>
          <w:szCs w:val="24"/>
        </w:rPr>
        <w:t>.</w:t>
      </w:r>
    </w:p>
    <w:p w14:paraId="3206CD7D" w14:textId="77777777" w:rsidR="00E57EA0" w:rsidRPr="00E57EA0" w:rsidRDefault="00E57EA0" w:rsidP="00E57EA0">
      <w:pPr>
        <w:pStyle w:val="ListParagraph"/>
        <w:rPr>
          <w:bCs/>
          <w:sz w:val="24"/>
          <w:szCs w:val="24"/>
        </w:rPr>
      </w:pPr>
    </w:p>
    <w:p w14:paraId="2ED5839B" w14:textId="46E35D55" w:rsidR="00E57EA0" w:rsidRPr="00E57EA0" w:rsidRDefault="006178C4" w:rsidP="00E57EA0">
      <w:pPr>
        <w:pStyle w:val="ListParagraph"/>
        <w:widowControl/>
        <w:numPr>
          <w:ilvl w:val="0"/>
          <w:numId w:val="37"/>
        </w:numPr>
        <w:autoSpaceDE/>
        <w:autoSpaceDN/>
        <w:rPr>
          <w:rFonts w:eastAsia="Times New Roman"/>
          <w:sz w:val="24"/>
          <w:szCs w:val="24"/>
        </w:rPr>
      </w:pPr>
      <w:r w:rsidRPr="00E57EA0">
        <w:rPr>
          <w:bCs/>
          <w:sz w:val="24"/>
          <w:szCs w:val="24"/>
        </w:rPr>
        <w:t xml:space="preserve">This report summarises </w:t>
      </w:r>
      <w:r w:rsidR="00F25E4D">
        <w:rPr>
          <w:bCs/>
          <w:sz w:val="24"/>
          <w:szCs w:val="24"/>
        </w:rPr>
        <w:t xml:space="preserve">the </w:t>
      </w:r>
      <w:r w:rsidRPr="00E57EA0">
        <w:rPr>
          <w:bCs/>
          <w:sz w:val="24"/>
          <w:szCs w:val="24"/>
        </w:rPr>
        <w:t>performance</w:t>
      </w:r>
      <w:r w:rsidR="00B46CE8" w:rsidRPr="00E57EA0">
        <w:rPr>
          <w:bCs/>
          <w:sz w:val="24"/>
          <w:szCs w:val="24"/>
        </w:rPr>
        <w:t xml:space="preserve"> and finance position </w:t>
      </w:r>
      <w:r w:rsidR="00F25E4D">
        <w:rPr>
          <w:bCs/>
          <w:sz w:val="24"/>
          <w:szCs w:val="24"/>
        </w:rPr>
        <w:t>for the council</w:t>
      </w:r>
      <w:r w:rsidRPr="00E57EA0">
        <w:rPr>
          <w:bCs/>
          <w:sz w:val="24"/>
          <w:szCs w:val="24"/>
        </w:rPr>
        <w:t xml:space="preserve">. Further information is provided in </w:t>
      </w:r>
      <w:r w:rsidR="00F25E4D">
        <w:rPr>
          <w:bCs/>
          <w:sz w:val="24"/>
          <w:szCs w:val="24"/>
        </w:rPr>
        <w:t>t</w:t>
      </w:r>
      <w:r w:rsidR="003F5727" w:rsidRPr="00E57EA0">
        <w:rPr>
          <w:bCs/>
          <w:sz w:val="24"/>
          <w:szCs w:val="24"/>
        </w:rPr>
        <w:t>h</w:t>
      </w:r>
      <w:r w:rsidR="00F25E4D">
        <w:rPr>
          <w:bCs/>
          <w:sz w:val="24"/>
          <w:szCs w:val="24"/>
        </w:rPr>
        <w:t>e following</w:t>
      </w:r>
      <w:r w:rsidR="003F5727" w:rsidRPr="00E57EA0">
        <w:rPr>
          <w:bCs/>
          <w:sz w:val="24"/>
          <w:szCs w:val="24"/>
        </w:rPr>
        <w:t xml:space="preserve"> </w:t>
      </w:r>
      <w:r w:rsidRPr="00E57EA0">
        <w:rPr>
          <w:bCs/>
          <w:sz w:val="24"/>
          <w:szCs w:val="24"/>
        </w:rPr>
        <w:t>annexes</w:t>
      </w:r>
      <w:r w:rsidR="001A1387">
        <w:rPr>
          <w:bCs/>
          <w:sz w:val="24"/>
          <w:szCs w:val="24"/>
        </w:rPr>
        <w:t xml:space="preserve"> to the report</w:t>
      </w:r>
      <w:r w:rsidRPr="00E57EA0">
        <w:rPr>
          <w:bCs/>
          <w:sz w:val="24"/>
          <w:szCs w:val="24"/>
        </w:rPr>
        <w:t>:</w:t>
      </w:r>
    </w:p>
    <w:p w14:paraId="77E7E230" w14:textId="77777777" w:rsidR="00E57EA0" w:rsidRPr="00E57EA0" w:rsidRDefault="00E57EA0" w:rsidP="00E57EA0">
      <w:pPr>
        <w:widowControl/>
        <w:autoSpaceDE/>
        <w:autoSpaceDN/>
        <w:rPr>
          <w:rFonts w:eastAsia="Times New Roman"/>
          <w:sz w:val="24"/>
          <w:szCs w:val="24"/>
        </w:rPr>
      </w:pPr>
    </w:p>
    <w:p w14:paraId="4D958976" w14:textId="109A52DE" w:rsidR="006178C4" w:rsidRPr="006A0DAD" w:rsidRDefault="006178C4" w:rsidP="001A1387">
      <w:pPr>
        <w:ind w:left="2160"/>
        <w:rPr>
          <w:bCs/>
          <w:sz w:val="24"/>
          <w:szCs w:val="24"/>
        </w:rPr>
      </w:pPr>
      <w:r w:rsidRPr="006A0DAD">
        <w:rPr>
          <w:bCs/>
          <w:sz w:val="24"/>
          <w:szCs w:val="24"/>
        </w:rPr>
        <w:t xml:space="preserve">Annex A: Performance </w:t>
      </w:r>
      <w:r w:rsidR="00F134C1">
        <w:rPr>
          <w:bCs/>
          <w:sz w:val="24"/>
          <w:szCs w:val="24"/>
        </w:rPr>
        <w:t>Jul</w:t>
      </w:r>
      <w:r w:rsidR="00F770DE" w:rsidRPr="006A0DAD">
        <w:rPr>
          <w:bCs/>
          <w:sz w:val="24"/>
          <w:szCs w:val="24"/>
        </w:rPr>
        <w:t>y</w:t>
      </w:r>
      <w:r w:rsidRPr="006A0DAD">
        <w:rPr>
          <w:bCs/>
          <w:sz w:val="24"/>
          <w:szCs w:val="24"/>
        </w:rPr>
        <w:t xml:space="preserve"> 2022</w:t>
      </w:r>
    </w:p>
    <w:p w14:paraId="075B6F24" w14:textId="4B3A0339" w:rsidR="006178C4" w:rsidRPr="006178C4" w:rsidRDefault="006178C4" w:rsidP="001A1387">
      <w:pPr>
        <w:ind w:left="2160"/>
        <w:rPr>
          <w:bCs/>
          <w:sz w:val="24"/>
          <w:szCs w:val="24"/>
        </w:rPr>
      </w:pPr>
      <w:r w:rsidRPr="006A0DAD">
        <w:rPr>
          <w:bCs/>
          <w:sz w:val="24"/>
          <w:szCs w:val="24"/>
        </w:rPr>
        <w:t xml:space="preserve">Annex </w:t>
      </w:r>
      <w:r w:rsidR="00055FA8">
        <w:rPr>
          <w:bCs/>
          <w:sz w:val="24"/>
          <w:szCs w:val="24"/>
        </w:rPr>
        <w:t>B</w:t>
      </w:r>
      <w:r w:rsidRPr="006A0DAD">
        <w:rPr>
          <w:bCs/>
          <w:sz w:val="24"/>
          <w:szCs w:val="24"/>
        </w:rPr>
        <w:t>: Finance</w:t>
      </w:r>
      <w:r w:rsidR="00F134C1">
        <w:rPr>
          <w:bCs/>
          <w:sz w:val="24"/>
          <w:szCs w:val="24"/>
        </w:rPr>
        <w:t xml:space="preserve"> Jul</w:t>
      </w:r>
      <w:r w:rsidR="00F770DE" w:rsidRPr="006A0DAD">
        <w:rPr>
          <w:bCs/>
          <w:sz w:val="24"/>
          <w:szCs w:val="24"/>
        </w:rPr>
        <w:t>y</w:t>
      </w:r>
      <w:r w:rsidRPr="006A0DAD">
        <w:rPr>
          <w:bCs/>
          <w:sz w:val="24"/>
          <w:szCs w:val="24"/>
        </w:rPr>
        <w:t xml:space="preserve"> 2022</w:t>
      </w:r>
    </w:p>
    <w:p w14:paraId="59C377FE" w14:textId="77777777" w:rsidR="006178C4" w:rsidRPr="006178C4" w:rsidRDefault="006178C4" w:rsidP="00E57EA0">
      <w:pPr>
        <w:pStyle w:val="ListParagraph"/>
        <w:widowControl/>
        <w:autoSpaceDE/>
        <w:autoSpaceDN/>
        <w:ind w:left="720" w:firstLine="0"/>
        <w:rPr>
          <w:bCs/>
          <w:sz w:val="24"/>
          <w:szCs w:val="24"/>
        </w:rPr>
      </w:pPr>
    </w:p>
    <w:p w14:paraId="01537BDC" w14:textId="169D3C1E" w:rsidR="006178C4" w:rsidRPr="00E57EA0" w:rsidRDefault="006178C4" w:rsidP="00E57EA0">
      <w:pPr>
        <w:pStyle w:val="ListParagraph"/>
        <w:widowControl/>
        <w:numPr>
          <w:ilvl w:val="0"/>
          <w:numId w:val="37"/>
        </w:numPr>
        <w:autoSpaceDE/>
        <w:autoSpaceDN/>
        <w:rPr>
          <w:bCs/>
          <w:sz w:val="24"/>
          <w:szCs w:val="24"/>
        </w:rPr>
      </w:pPr>
      <w:r w:rsidRPr="004C1FCE">
        <w:rPr>
          <w:bCs/>
          <w:sz w:val="24"/>
          <w:szCs w:val="24"/>
        </w:rPr>
        <w:t>The performance section of this report concentrates on the Performance Exceptions (</w:t>
      </w:r>
      <w:r w:rsidR="00B46CE8">
        <w:rPr>
          <w:bCs/>
          <w:sz w:val="24"/>
          <w:szCs w:val="24"/>
        </w:rPr>
        <w:t>Measures reporting</w:t>
      </w:r>
      <w:r w:rsidRPr="004C1FCE">
        <w:rPr>
          <w:bCs/>
          <w:sz w:val="24"/>
          <w:szCs w:val="24"/>
        </w:rPr>
        <w:t xml:space="preserve"> Red</w:t>
      </w:r>
      <w:r w:rsidR="00F562C1">
        <w:rPr>
          <w:bCs/>
          <w:sz w:val="24"/>
          <w:szCs w:val="24"/>
        </w:rPr>
        <w:t xml:space="preserve"> (</w:t>
      </w:r>
      <w:r w:rsidRPr="004C1FCE">
        <w:rPr>
          <w:bCs/>
          <w:sz w:val="24"/>
          <w:szCs w:val="24"/>
        </w:rPr>
        <w:t>off target</w:t>
      </w:r>
      <w:r w:rsidR="00F562C1">
        <w:rPr>
          <w:bCs/>
          <w:sz w:val="24"/>
          <w:szCs w:val="24"/>
        </w:rPr>
        <w:t>)</w:t>
      </w:r>
      <w:r w:rsidRPr="004C1FCE">
        <w:rPr>
          <w:bCs/>
          <w:sz w:val="24"/>
          <w:szCs w:val="24"/>
        </w:rPr>
        <w:t xml:space="preserve">, or Amber, </w:t>
      </w:r>
      <w:r w:rsidR="00F562C1">
        <w:rPr>
          <w:bCs/>
          <w:sz w:val="24"/>
          <w:szCs w:val="24"/>
        </w:rPr>
        <w:t>(</w:t>
      </w:r>
      <w:r w:rsidRPr="004C1FCE">
        <w:rPr>
          <w:bCs/>
          <w:sz w:val="24"/>
          <w:szCs w:val="24"/>
        </w:rPr>
        <w:t>slightly off</w:t>
      </w:r>
      <w:r w:rsidR="00D45CD6">
        <w:rPr>
          <w:bCs/>
          <w:sz w:val="24"/>
          <w:szCs w:val="24"/>
        </w:rPr>
        <w:t xml:space="preserve"> </w:t>
      </w:r>
      <w:r w:rsidRPr="004C1FCE">
        <w:rPr>
          <w:bCs/>
          <w:sz w:val="24"/>
          <w:szCs w:val="24"/>
        </w:rPr>
        <w:t xml:space="preserve">target, </w:t>
      </w:r>
      <w:r w:rsidR="00B46CE8">
        <w:rPr>
          <w:bCs/>
          <w:sz w:val="24"/>
          <w:szCs w:val="24"/>
        </w:rPr>
        <w:lastRenderedPageBreak/>
        <w:t xml:space="preserve">amber </w:t>
      </w:r>
      <w:r w:rsidRPr="004C1FCE">
        <w:rPr>
          <w:bCs/>
          <w:sz w:val="24"/>
          <w:szCs w:val="24"/>
        </w:rPr>
        <w:t xml:space="preserve">for the last two consecutive months). The full performance report is </w:t>
      </w:r>
      <w:r w:rsidR="00DC2C85">
        <w:rPr>
          <w:bCs/>
          <w:sz w:val="24"/>
          <w:szCs w:val="24"/>
        </w:rPr>
        <w:t xml:space="preserve">included </w:t>
      </w:r>
      <w:r w:rsidRPr="004C1FCE">
        <w:rPr>
          <w:bCs/>
          <w:sz w:val="24"/>
          <w:szCs w:val="24"/>
        </w:rPr>
        <w:t>at Annex A</w:t>
      </w:r>
      <w:r w:rsidR="003C6A7C">
        <w:rPr>
          <w:bCs/>
          <w:sz w:val="24"/>
          <w:szCs w:val="24"/>
        </w:rPr>
        <w:t>.</w:t>
      </w:r>
      <w:r w:rsidRPr="00E57EA0">
        <w:rPr>
          <w:bCs/>
          <w:sz w:val="24"/>
          <w:szCs w:val="24"/>
        </w:rPr>
        <w:t xml:space="preserve"> </w:t>
      </w:r>
    </w:p>
    <w:p w14:paraId="3F3EE388" w14:textId="77777777" w:rsidR="00AD36C2" w:rsidRPr="004C1FCE" w:rsidRDefault="00AD36C2" w:rsidP="004C1FCE">
      <w:pPr>
        <w:ind w:left="284" w:hanging="284"/>
        <w:jc w:val="both"/>
        <w:rPr>
          <w:b/>
          <w:bCs/>
          <w:sz w:val="24"/>
          <w:szCs w:val="24"/>
          <w:u w:val="single"/>
        </w:rPr>
      </w:pPr>
    </w:p>
    <w:p w14:paraId="79ACB471" w14:textId="5DD47D49" w:rsidR="0070465F" w:rsidRPr="00045E35" w:rsidRDefault="0070465F" w:rsidP="00F25E4D">
      <w:pPr>
        <w:jc w:val="both"/>
        <w:rPr>
          <w:b/>
          <w:bCs/>
          <w:sz w:val="24"/>
          <w:szCs w:val="24"/>
          <w:u w:val="single"/>
        </w:rPr>
      </w:pPr>
      <w:r w:rsidRPr="00045E35">
        <w:rPr>
          <w:b/>
          <w:bCs/>
          <w:sz w:val="24"/>
          <w:szCs w:val="24"/>
          <w:u w:val="single"/>
        </w:rPr>
        <w:t>Performance Overview</w:t>
      </w:r>
    </w:p>
    <w:p w14:paraId="34FB86F2" w14:textId="0AF045D7" w:rsidR="0070465F" w:rsidRPr="004C1FCE" w:rsidRDefault="0070465F" w:rsidP="004C1FCE">
      <w:pPr>
        <w:ind w:left="284" w:hanging="284"/>
        <w:jc w:val="both"/>
        <w:rPr>
          <w:b/>
          <w:bCs/>
          <w:sz w:val="24"/>
          <w:szCs w:val="24"/>
          <w:u w:val="single"/>
        </w:rPr>
      </w:pPr>
    </w:p>
    <w:p w14:paraId="72515456" w14:textId="77777777" w:rsidR="00D37D86" w:rsidRPr="002B164B" w:rsidRDefault="00D37D86" w:rsidP="00D37D86">
      <w:pPr>
        <w:pStyle w:val="ListParagraph"/>
        <w:widowControl/>
        <w:numPr>
          <w:ilvl w:val="0"/>
          <w:numId w:val="37"/>
        </w:numPr>
        <w:autoSpaceDE/>
        <w:autoSpaceDN/>
        <w:rPr>
          <w:rFonts w:eastAsia="Times New Roman"/>
          <w:sz w:val="24"/>
          <w:szCs w:val="24"/>
        </w:rPr>
      </w:pPr>
      <w:r w:rsidRPr="002B164B">
        <w:rPr>
          <w:rFonts w:eastAsia="Times New Roman"/>
          <w:sz w:val="24"/>
          <w:szCs w:val="24"/>
        </w:rPr>
        <w:t xml:space="preserve">The Outcomes Framework for 2022/23 reports on our nine strategic priorities, and one running the business priority which includes the customer contact centre and finance measures. </w:t>
      </w:r>
    </w:p>
    <w:p w14:paraId="351D63ED" w14:textId="77777777" w:rsidR="00D37D86" w:rsidRPr="002B164B" w:rsidRDefault="00D37D86" w:rsidP="00D37D86">
      <w:pPr>
        <w:pStyle w:val="ListParagraph"/>
        <w:widowControl/>
        <w:autoSpaceDE/>
        <w:autoSpaceDN/>
        <w:ind w:left="720" w:firstLine="0"/>
        <w:rPr>
          <w:rFonts w:eastAsia="Times New Roman"/>
          <w:sz w:val="24"/>
          <w:szCs w:val="24"/>
        </w:rPr>
      </w:pPr>
    </w:p>
    <w:p w14:paraId="438F382A" w14:textId="68E063CB" w:rsidR="00D37D86" w:rsidRPr="002B164B" w:rsidRDefault="00D37D86" w:rsidP="00D37D86">
      <w:pPr>
        <w:pStyle w:val="ListParagraph"/>
        <w:widowControl/>
        <w:numPr>
          <w:ilvl w:val="0"/>
          <w:numId w:val="37"/>
        </w:numPr>
        <w:autoSpaceDE/>
        <w:autoSpaceDN/>
        <w:rPr>
          <w:rFonts w:eastAsia="Times New Roman"/>
          <w:sz w:val="24"/>
          <w:szCs w:val="24"/>
        </w:rPr>
      </w:pPr>
      <w:r w:rsidRPr="002B164B">
        <w:rPr>
          <w:rFonts w:eastAsia="Times New Roman"/>
          <w:sz w:val="24"/>
          <w:szCs w:val="24"/>
        </w:rPr>
        <w:t>This report includes 52 monthly measures</w:t>
      </w:r>
      <w:r>
        <w:rPr>
          <w:rFonts w:eastAsia="Times New Roman"/>
          <w:sz w:val="24"/>
          <w:szCs w:val="24"/>
        </w:rPr>
        <w:t xml:space="preserve">. </w:t>
      </w:r>
      <w:r w:rsidRPr="002B164B">
        <w:rPr>
          <w:rFonts w:eastAsia="Times New Roman"/>
          <w:sz w:val="24"/>
          <w:szCs w:val="24"/>
        </w:rPr>
        <w:t xml:space="preserve"> </w:t>
      </w:r>
      <w:r>
        <w:rPr>
          <w:rFonts w:eastAsia="Times New Roman"/>
          <w:sz w:val="24"/>
          <w:szCs w:val="24"/>
        </w:rPr>
        <w:t>As</w:t>
      </w:r>
      <w:r w:rsidRPr="002B164B">
        <w:rPr>
          <w:rFonts w:eastAsia="Times New Roman"/>
          <w:sz w:val="24"/>
          <w:szCs w:val="24"/>
        </w:rPr>
        <w:t xml:space="preserve"> at the end of July 2022 the indicators were rated as follows</w:t>
      </w:r>
      <w:r>
        <w:rPr>
          <w:rFonts w:eastAsia="Times New Roman"/>
          <w:sz w:val="24"/>
          <w:szCs w:val="24"/>
        </w:rPr>
        <w:t>:</w:t>
      </w:r>
    </w:p>
    <w:tbl>
      <w:tblPr>
        <w:tblpPr w:leftFromText="180" w:rightFromText="180" w:vertAnchor="text" w:horzAnchor="margin" w:tblpX="279" w:tblpY="175"/>
        <w:tblW w:w="5000" w:type="pct"/>
        <w:tblLook w:val="04A0" w:firstRow="1" w:lastRow="0" w:firstColumn="1" w:lastColumn="0" w:noHBand="0" w:noVBand="1"/>
      </w:tblPr>
      <w:tblGrid>
        <w:gridCol w:w="1027"/>
        <w:gridCol w:w="1531"/>
        <w:gridCol w:w="1532"/>
        <w:gridCol w:w="1530"/>
        <w:gridCol w:w="1525"/>
        <w:gridCol w:w="1871"/>
      </w:tblGrid>
      <w:tr w:rsidR="00D37D86" w:rsidRPr="002B164B" w14:paraId="6A3D4D45" w14:textId="77777777" w:rsidTr="00FC0C44">
        <w:trPr>
          <w:trHeight w:val="160"/>
        </w:trPr>
        <w:tc>
          <w:tcPr>
            <w:tcW w:w="567"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86A7E85" w14:textId="77777777" w:rsidR="00D37D86" w:rsidRPr="002B164B" w:rsidRDefault="00D37D86" w:rsidP="00FC0C44">
            <w:pPr>
              <w:widowControl/>
              <w:autoSpaceDE/>
              <w:autoSpaceDN/>
              <w:jc w:val="center"/>
              <w:rPr>
                <w:rFonts w:eastAsia="Times New Roman"/>
                <w:b/>
                <w:bCs/>
                <w:color w:val="000000"/>
                <w:sz w:val="18"/>
                <w:szCs w:val="18"/>
                <w:lang w:eastAsia="en-GB"/>
              </w:rPr>
            </w:pPr>
            <w:r w:rsidRPr="002B164B">
              <w:rPr>
                <w:rFonts w:eastAsia="Times New Roman"/>
                <w:b/>
                <w:bCs/>
                <w:color w:val="000000"/>
                <w:sz w:val="18"/>
                <w:szCs w:val="18"/>
                <w:lang w:eastAsia="en-GB"/>
              </w:rPr>
              <w:t>Month</w:t>
            </w:r>
          </w:p>
        </w:tc>
        <w:tc>
          <w:tcPr>
            <w:tcW w:w="850" w:type="pct"/>
            <w:tcBorders>
              <w:top w:val="single" w:sz="4" w:space="0" w:color="auto"/>
              <w:left w:val="nil"/>
              <w:bottom w:val="single" w:sz="4" w:space="0" w:color="auto"/>
              <w:right w:val="single" w:sz="4" w:space="0" w:color="auto"/>
            </w:tcBorders>
            <w:shd w:val="clear" w:color="000000" w:fill="92D050"/>
            <w:noWrap/>
            <w:vAlign w:val="center"/>
            <w:hideMark/>
          </w:tcPr>
          <w:p w14:paraId="5884974C" w14:textId="77777777" w:rsidR="00D37D86" w:rsidRPr="002B164B" w:rsidRDefault="00D37D86" w:rsidP="00FC0C44">
            <w:pPr>
              <w:widowControl/>
              <w:autoSpaceDE/>
              <w:autoSpaceDN/>
              <w:jc w:val="center"/>
              <w:rPr>
                <w:rFonts w:eastAsia="Times New Roman"/>
                <w:b/>
                <w:bCs/>
                <w:color w:val="000000"/>
                <w:sz w:val="18"/>
                <w:szCs w:val="18"/>
                <w:lang w:eastAsia="en-GB"/>
              </w:rPr>
            </w:pPr>
            <w:r w:rsidRPr="002B164B">
              <w:rPr>
                <w:rFonts w:eastAsia="Times New Roman"/>
                <w:b/>
                <w:bCs/>
                <w:color w:val="000000"/>
                <w:sz w:val="18"/>
                <w:szCs w:val="18"/>
                <w:lang w:eastAsia="en-GB"/>
              </w:rPr>
              <w:t>Green</w:t>
            </w:r>
          </w:p>
        </w:tc>
        <w:tc>
          <w:tcPr>
            <w:tcW w:w="850" w:type="pct"/>
            <w:tcBorders>
              <w:top w:val="single" w:sz="4" w:space="0" w:color="auto"/>
              <w:left w:val="nil"/>
              <w:bottom w:val="single" w:sz="4" w:space="0" w:color="auto"/>
              <w:right w:val="single" w:sz="4" w:space="0" w:color="auto"/>
            </w:tcBorders>
            <w:shd w:val="clear" w:color="000000" w:fill="FFC000"/>
            <w:noWrap/>
            <w:vAlign w:val="center"/>
            <w:hideMark/>
          </w:tcPr>
          <w:p w14:paraId="71AD166C" w14:textId="77777777" w:rsidR="00D37D86" w:rsidRPr="002B164B" w:rsidRDefault="00D37D86" w:rsidP="00FC0C44">
            <w:pPr>
              <w:widowControl/>
              <w:autoSpaceDE/>
              <w:autoSpaceDN/>
              <w:jc w:val="center"/>
              <w:rPr>
                <w:rFonts w:eastAsia="Times New Roman"/>
                <w:b/>
                <w:bCs/>
                <w:color w:val="000000"/>
                <w:sz w:val="18"/>
                <w:szCs w:val="18"/>
                <w:lang w:eastAsia="en-GB"/>
              </w:rPr>
            </w:pPr>
            <w:r w:rsidRPr="002B164B">
              <w:rPr>
                <w:rFonts w:eastAsia="Times New Roman"/>
                <w:b/>
                <w:bCs/>
                <w:color w:val="000000"/>
                <w:sz w:val="18"/>
                <w:szCs w:val="18"/>
                <w:lang w:eastAsia="en-GB"/>
              </w:rPr>
              <w:t>Amber</w:t>
            </w:r>
          </w:p>
        </w:tc>
        <w:tc>
          <w:tcPr>
            <w:tcW w:w="849" w:type="pct"/>
            <w:tcBorders>
              <w:top w:val="single" w:sz="4" w:space="0" w:color="auto"/>
              <w:left w:val="nil"/>
              <w:bottom w:val="single" w:sz="4" w:space="0" w:color="auto"/>
              <w:right w:val="single" w:sz="4" w:space="0" w:color="auto"/>
            </w:tcBorders>
            <w:shd w:val="clear" w:color="000000" w:fill="FF0000"/>
            <w:noWrap/>
            <w:vAlign w:val="center"/>
            <w:hideMark/>
          </w:tcPr>
          <w:p w14:paraId="184228F2" w14:textId="77777777" w:rsidR="00D37D86" w:rsidRPr="002B164B" w:rsidRDefault="00D37D86" w:rsidP="00FC0C44">
            <w:pPr>
              <w:widowControl/>
              <w:autoSpaceDE/>
              <w:autoSpaceDN/>
              <w:jc w:val="center"/>
              <w:rPr>
                <w:rFonts w:eastAsia="Times New Roman"/>
                <w:b/>
                <w:bCs/>
                <w:color w:val="000000"/>
                <w:sz w:val="18"/>
                <w:szCs w:val="18"/>
                <w:lang w:eastAsia="en-GB"/>
              </w:rPr>
            </w:pPr>
            <w:r w:rsidRPr="002B164B">
              <w:rPr>
                <w:rFonts w:eastAsia="Times New Roman"/>
                <w:b/>
                <w:bCs/>
                <w:color w:val="000000"/>
                <w:sz w:val="18"/>
                <w:szCs w:val="18"/>
                <w:lang w:eastAsia="en-GB"/>
              </w:rPr>
              <w:t>Red</w:t>
            </w:r>
          </w:p>
        </w:tc>
        <w:tc>
          <w:tcPr>
            <w:tcW w:w="84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D297B32" w14:textId="77777777" w:rsidR="00D37D86" w:rsidRPr="002B164B" w:rsidRDefault="00D37D86" w:rsidP="00FC0C44">
            <w:pPr>
              <w:widowControl/>
              <w:autoSpaceDE/>
              <w:autoSpaceDN/>
              <w:jc w:val="center"/>
              <w:rPr>
                <w:rFonts w:eastAsia="Times New Roman"/>
                <w:b/>
                <w:bCs/>
                <w:color w:val="000000"/>
                <w:sz w:val="18"/>
                <w:szCs w:val="18"/>
                <w:lang w:eastAsia="en-GB"/>
              </w:rPr>
            </w:pPr>
            <w:r w:rsidRPr="002B164B">
              <w:rPr>
                <w:rFonts w:eastAsia="Times New Roman"/>
                <w:b/>
                <w:bCs/>
                <w:color w:val="000000"/>
                <w:sz w:val="18"/>
                <w:szCs w:val="18"/>
                <w:lang w:eastAsia="en-GB"/>
              </w:rPr>
              <w:t>Monitoring only</w:t>
            </w:r>
          </w:p>
          <w:p w14:paraId="7B67F83D" w14:textId="77777777" w:rsidR="00D37D86" w:rsidRPr="002B164B" w:rsidRDefault="00D37D86" w:rsidP="00FC0C44">
            <w:pPr>
              <w:widowControl/>
              <w:autoSpaceDE/>
              <w:autoSpaceDN/>
              <w:jc w:val="center"/>
              <w:rPr>
                <w:rFonts w:eastAsia="Times New Roman"/>
                <w:b/>
                <w:bCs/>
                <w:color w:val="000000"/>
                <w:sz w:val="18"/>
                <w:szCs w:val="18"/>
                <w:lang w:eastAsia="en-GB"/>
              </w:rPr>
            </w:pPr>
            <w:r w:rsidRPr="002B164B">
              <w:rPr>
                <w:rFonts w:eastAsia="Times New Roman"/>
                <w:b/>
                <w:bCs/>
                <w:color w:val="000000"/>
                <w:sz w:val="18"/>
                <w:szCs w:val="18"/>
                <w:lang w:eastAsia="en-GB"/>
              </w:rPr>
              <w:t>(n/a)</w:t>
            </w:r>
          </w:p>
        </w:tc>
        <w:tc>
          <w:tcPr>
            <w:tcW w:w="103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AB3C83" w14:textId="77777777" w:rsidR="00D37D86" w:rsidRPr="002B164B" w:rsidRDefault="00D37D86" w:rsidP="00FC0C44">
            <w:pPr>
              <w:widowControl/>
              <w:autoSpaceDE/>
              <w:autoSpaceDN/>
              <w:jc w:val="center"/>
              <w:rPr>
                <w:rFonts w:eastAsia="Times New Roman"/>
                <w:b/>
                <w:bCs/>
                <w:color w:val="000000"/>
                <w:sz w:val="18"/>
                <w:szCs w:val="18"/>
                <w:lang w:eastAsia="en-GB"/>
              </w:rPr>
            </w:pPr>
            <w:r w:rsidRPr="002B164B">
              <w:rPr>
                <w:rFonts w:eastAsia="Times New Roman"/>
                <w:b/>
                <w:bCs/>
                <w:color w:val="000000"/>
                <w:sz w:val="18"/>
                <w:szCs w:val="18"/>
                <w:lang w:eastAsia="en-GB"/>
              </w:rPr>
              <w:t>Total</w:t>
            </w:r>
          </w:p>
        </w:tc>
      </w:tr>
      <w:tr w:rsidR="00D37D86" w:rsidRPr="002B164B" w14:paraId="2DC8AB6F" w14:textId="77777777" w:rsidTr="00FC0C44">
        <w:trPr>
          <w:trHeight w:val="343"/>
        </w:trPr>
        <w:tc>
          <w:tcPr>
            <w:tcW w:w="567" w:type="pct"/>
            <w:vMerge w:val="restart"/>
            <w:tcBorders>
              <w:top w:val="single" w:sz="4" w:space="0" w:color="auto"/>
              <w:left w:val="single" w:sz="4" w:space="0" w:color="auto"/>
              <w:right w:val="single" w:sz="4" w:space="0" w:color="auto"/>
            </w:tcBorders>
            <w:shd w:val="clear" w:color="auto" w:fill="FFFFFF" w:themeFill="background1"/>
            <w:noWrap/>
            <w:vAlign w:val="center"/>
          </w:tcPr>
          <w:p w14:paraId="4CCA4E8B" w14:textId="77777777" w:rsidR="00D37D86" w:rsidRPr="002B164B" w:rsidRDefault="00D37D86" w:rsidP="00FC0C44">
            <w:pPr>
              <w:jc w:val="center"/>
              <w:rPr>
                <w:rFonts w:eastAsia="Times New Roman"/>
                <w:b/>
                <w:bCs/>
                <w:color w:val="000000"/>
                <w:sz w:val="18"/>
                <w:szCs w:val="18"/>
                <w:lang w:eastAsia="en-GB"/>
              </w:rPr>
            </w:pPr>
            <w:r w:rsidRPr="002B164B">
              <w:rPr>
                <w:rFonts w:eastAsia="Times New Roman"/>
                <w:b/>
                <w:bCs/>
                <w:color w:val="000000"/>
                <w:sz w:val="18"/>
                <w:szCs w:val="18"/>
                <w:lang w:eastAsia="en-GB"/>
              </w:rPr>
              <w:t>July 2022</w:t>
            </w:r>
          </w:p>
        </w:tc>
        <w:tc>
          <w:tcPr>
            <w:tcW w:w="850" w:type="pct"/>
            <w:tcBorders>
              <w:top w:val="single" w:sz="4" w:space="0" w:color="auto"/>
              <w:left w:val="nil"/>
              <w:bottom w:val="single" w:sz="4" w:space="0" w:color="auto"/>
              <w:right w:val="single" w:sz="4" w:space="0" w:color="auto"/>
            </w:tcBorders>
            <w:shd w:val="clear" w:color="auto" w:fill="FFFFFF" w:themeFill="background1"/>
            <w:noWrap/>
            <w:vAlign w:val="center"/>
          </w:tcPr>
          <w:p w14:paraId="08341BB7" w14:textId="77777777" w:rsidR="00D37D86" w:rsidRPr="002B164B" w:rsidRDefault="00D37D86" w:rsidP="00FC0C44">
            <w:pPr>
              <w:widowControl/>
              <w:autoSpaceDE/>
              <w:autoSpaceDN/>
              <w:jc w:val="center"/>
              <w:rPr>
                <w:rFonts w:eastAsia="Times New Roman"/>
                <w:b/>
                <w:bCs/>
                <w:sz w:val="18"/>
                <w:szCs w:val="18"/>
                <w:lang w:eastAsia="en-GB"/>
              </w:rPr>
            </w:pPr>
            <w:r w:rsidRPr="002B164B">
              <w:rPr>
                <w:rFonts w:eastAsia="Times New Roman"/>
                <w:b/>
                <w:bCs/>
                <w:sz w:val="18"/>
                <w:szCs w:val="18"/>
                <w:lang w:eastAsia="en-GB"/>
              </w:rPr>
              <w:t>2</w:t>
            </w:r>
            <w:r>
              <w:rPr>
                <w:rFonts w:eastAsia="Times New Roman"/>
                <w:b/>
                <w:bCs/>
                <w:sz w:val="18"/>
                <w:szCs w:val="18"/>
                <w:lang w:eastAsia="en-GB"/>
              </w:rPr>
              <w:t>3</w:t>
            </w:r>
          </w:p>
        </w:tc>
        <w:tc>
          <w:tcPr>
            <w:tcW w:w="850" w:type="pct"/>
            <w:tcBorders>
              <w:top w:val="single" w:sz="4" w:space="0" w:color="auto"/>
              <w:left w:val="nil"/>
              <w:bottom w:val="single" w:sz="4" w:space="0" w:color="auto"/>
              <w:right w:val="single" w:sz="4" w:space="0" w:color="auto"/>
            </w:tcBorders>
            <w:shd w:val="clear" w:color="auto" w:fill="FFFFFF" w:themeFill="background1"/>
            <w:noWrap/>
            <w:vAlign w:val="center"/>
          </w:tcPr>
          <w:p w14:paraId="52180090" w14:textId="77777777" w:rsidR="00D37D86" w:rsidRPr="002B164B" w:rsidRDefault="00D37D86" w:rsidP="00FC0C44">
            <w:pPr>
              <w:widowControl/>
              <w:autoSpaceDE/>
              <w:autoSpaceDN/>
              <w:jc w:val="center"/>
              <w:rPr>
                <w:rFonts w:eastAsia="Times New Roman"/>
                <w:b/>
                <w:bCs/>
                <w:sz w:val="18"/>
                <w:szCs w:val="18"/>
                <w:lang w:eastAsia="en-GB"/>
              </w:rPr>
            </w:pPr>
            <w:r w:rsidRPr="002B164B">
              <w:rPr>
                <w:rFonts w:eastAsia="Times New Roman"/>
                <w:b/>
                <w:bCs/>
                <w:sz w:val="18"/>
                <w:szCs w:val="18"/>
                <w:lang w:eastAsia="en-GB"/>
              </w:rPr>
              <w:t>1</w:t>
            </w:r>
            <w:r>
              <w:rPr>
                <w:rFonts w:eastAsia="Times New Roman"/>
                <w:b/>
                <w:bCs/>
                <w:sz w:val="18"/>
                <w:szCs w:val="18"/>
                <w:lang w:eastAsia="en-GB"/>
              </w:rPr>
              <w:t>4</w:t>
            </w:r>
          </w:p>
        </w:tc>
        <w:tc>
          <w:tcPr>
            <w:tcW w:w="849" w:type="pct"/>
            <w:tcBorders>
              <w:top w:val="single" w:sz="4" w:space="0" w:color="auto"/>
              <w:left w:val="nil"/>
              <w:bottom w:val="single" w:sz="4" w:space="0" w:color="auto"/>
              <w:right w:val="single" w:sz="4" w:space="0" w:color="auto"/>
            </w:tcBorders>
            <w:shd w:val="clear" w:color="auto" w:fill="FFFFFF" w:themeFill="background1"/>
            <w:noWrap/>
            <w:vAlign w:val="center"/>
          </w:tcPr>
          <w:p w14:paraId="7DDA8048" w14:textId="77777777" w:rsidR="00D37D86" w:rsidRPr="002B164B" w:rsidRDefault="00D37D86" w:rsidP="00FC0C44">
            <w:pPr>
              <w:widowControl/>
              <w:autoSpaceDE/>
              <w:autoSpaceDN/>
              <w:jc w:val="center"/>
              <w:rPr>
                <w:rFonts w:eastAsia="Times New Roman"/>
                <w:b/>
                <w:bCs/>
                <w:sz w:val="18"/>
                <w:szCs w:val="18"/>
                <w:lang w:eastAsia="en-GB"/>
              </w:rPr>
            </w:pPr>
            <w:r>
              <w:rPr>
                <w:rFonts w:eastAsia="Times New Roman"/>
                <w:b/>
                <w:bCs/>
                <w:sz w:val="18"/>
                <w:szCs w:val="18"/>
                <w:lang w:eastAsia="en-GB"/>
              </w:rPr>
              <w:t>8</w:t>
            </w:r>
          </w:p>
        </w:tc>
        <w:tc>
          <w:tcPr>
            <w:tcW w:w="846" w:type="pct"/>
            <w:tcBorders>
              <w:top w:val="single" w:sz="4" w:space="0" w:color="auto"/>
              <w:left w:val="nil"/>
              <w:bottom w:val="single" w:sz="4" w:space="0" w:color="auto"/>
              <w:right w:val="single" w:sz="4" w:space="0" w:color="auto"/>
            </w:tcBorders>
            <w:shd w:val="clear" w:color="auto" w:fill="FFFFFF" w:themeFill="background1"/>
            <w:vAlign w:val="center"/>
          </w:tcPr>
          <w:p w14:paraId="4278408B" w14:textId="77777777" w:rsidR="00D37D86" w:rsidRPr="002B164B" w:rsidRDefault="00D37D86" w:rsidP="00FC0C44">
            <w:pPr>
              <w:widowControl/>
              <w:autoSpaceDE/>
              <w:autoSpaceDN/>
              <w:jc w:val="center"/>
              <w:rPr>
                <w:rFonts w:eastAsia="Times New Roman"/>
                <w:b/>
                <w:bCs/>
                <w:sz w:val="18"/>
                <w:szCs w:val="18"/>
                <w:lang w:eastAsia="en-GB"/>
              </w:rPr>
            </w:pPr>
            <w:r w:rsidRPr="002B164B">
              <w:rPr>
                <w:rFonts w:eastAsia="Times New Roman"/>
                <w:b/>
                <w:bCs/>
                <w:sz w:val="18"/>
                <w:szCs w:val="18"/>
                <w:lang w:eastAsia="en-GB"/>
              </w:rPr>
              <w:t>7</w:t>
            </w:r>
          </w:p>
        </w:tc>
        <w:tc>
          <w:tcPr>
            <w:tcW w:w="1038" w:type="pct"/>
            <w:vMerge w:val="restart"/>
            <w:tcBorders>
              <w:top w:val="single" w:sz="4" w:space="0" w:color="auto"/>
              <w:left w:val="single" w:sz="4" w:space="0" w:color="auto"/>
              <w:right w:val="single" w:sz="4" w:space="0" w:color="auto"/>
            </w:tcBorders>
            <w:shd w:val="clear" w:color="auto" w:fill="FFFFFF" w:themeFill="background1"/>
            <w:vAlign w:val="center"/>
          </w:tcPr>
          <w:p w14:paraId="1A50EE0A" w14:textId="77777777" w:rsidR="00D37D86" w:rsidRPr="002B164B" w:rsidRDefault="00D37D86" w:rsidP="00FC0C44">
            <w:pPr>
              <w:jc w:val="center"/>
              <w:rPr>
                <w:rFonts w:eastAsia="Times New Roman"/>
                <w:b/>
                <w:bCs/>
                <w:color w:val="FF0000"/>
                <w:sz w:val="18"/>
                <w:szCs w:val="18"/>
                <w:lang w:eastAsia="en-GB"/>
              </w:rPr>
            </w:pPr>
            <w:r w:rsidRPr="002B164B">
              <w:rPr>
                <w:rFonts w:eastAsia="Times New Roman"/>
                <w:b/>
                <w:bCs/>
                <w:sz w:val="18"/>
                <w:szCs w:val="18"/>
                <w:lang w:eastAsia="en-GB"/>
              </w:rPr>
              <w:t>52</w:t>
            </w:r>
          </w:p>
        </w:tc>
      </w:tr>
      <w:tr w:rsidR="00D37D86" w:rsidRPr="002B164B" w14:paraId="2BC7F199" w14:textId="77777777" w:rsidTr="00FC0C44">
        <w:trPr>
          <w:trHeight w:val="325"/>
        </w:trPr>
        <w:tc>
          <w:tcPr>
            <w:tcW w:w="567" w:type="pct"/>
            <w:vMerge/>
            <w:tcBorders>
              <w:left w:val="single" w:sz="4" w:space="0" w:color="auto"/>
              <w:bottom w:val="single" w:sz="4" w:space="0" w:color="auto"/>
              <w:right w:val="single" w:sz="4" w:space="0" w:color="auto"/>
            </w:tcBorders>
            <w:shd w:val="clear" w:color="auto" w:fill="FFFFFF" w:themeFill="background1"/>
            <w:noWrap/>
            <w:vAlign w:val="center"/>
            <w:hideMark/>
          </w:tcPr>
          <w:p w14:paraId="066584D7" w14:textId="77777777" w:rsidR="00D37D86" w:rsidRPr="002B164B" w:rsidRDefault="00D37D86" w:rsidP="00FC0C44">
            <w:pPr>
              <w:widowControl/>
              <w:autoSpaceDE/>
              <w:autoSpaceDN/>
              <w:jc w:val="center"/>
              <w:rPr>
                <w:rFonts w:eastAsia="Times New Roman"/>
                <w:b/>
                <w:bCs/>
                <w:color w:val="000000"/>
                <w:sz w:val="20"/>
                <w:szCs w:val="20"/>
                <w:lang w:eastAsia="en-GB"/>
              </w:rPr>
            </w:pPr>
          </w:p>
        </w:tc>
        <w:tc>
          <w:tcPr>
            <w:tcW w:w="850" w:type="pct"/>
            <w:tcBorders>
              <w:top w:val="nil"/>
              <w:left w:val="nil"/>
              <w:bottom w:val="single" w:sz="4" w:space="0" w:color="auto"/>
              <w:right w:val="single" w:sz="4" w:space="0" w:color="auto"/>
            </w:tcBorders>
            <w:shd w:val="clear" w:color="auto" w:fill="auto"/>
            <w:noWrap/>
            <w:vAlign w:val="center"/>
            <w:hideMark/>
          </w:tcPr>
          <w:p w14:paraId="7FA5D277" w14:textId="77777777" w:rsidR="00D37D86" w:rsidRPr="002B164B" w:rsidRDefault="00D37D86" w:rsidP="00FC0C44">
            <w:pPr>
              <w:widowControl/>
              <w:autoSpaceDE/>
              <w:autoSpaceDN/>
              <w:jc w:val="center"/>
              <w:rPr>
                <w:rFonts w:eastAsia="Times New Roman"/>
                <w:b/>
                <w:bCs/>
                <w:sz w:val="20"/>
                <w:szCs w:val="20"/>
                <w:lang w:eastAsia="en-GB"/>
              </w:rPr>
            </w:pPr>
            <w:r>
              <w:rPr>
                <w:rFonts w:eastAsia="Times New Roman"/>
                <w:b/>
                <w:bCs/>
                <w:sz w:val="20"/>
                <w:szCs w:val="20"/>
                <w:lang w:eastAsia="en-GB"/>
              </w:rPr>
              <w:t>44.2</w:t>
            </w:r>
            <w:r w:rsidRPr="002B164B">
              <w:rPr>
                <w:rFonts w:eastAsia="Times New Roman"/>
                <w:b/>
                <w:bCs/>
                <w:sz w:val="20"/>
                <w:szCs w:val="20"/>
                <w:lang w:eastAsia="en-GB"/>
              </w:rPr>
              <w:t>%</w:t>
            </w:r>
          </w:p>
        </w:tc>
        <w:tc>
          <w:tcPr>
            <w:tcW w:w="850" w:type="pct"/>
            <w:tcBorders>
              <w:top w:val="nil"/>
              <w:left w:val="nil"/>
              <w:bottom w:val="single" w:sz="4" w:space="0" w:color="auto"/>
              <w:right w:val="single" w:sz="4" w:space="0" w:color="auto"/>
            </w:tcBorders>
            <w:shd w:val="clear" w:color="auto" w:fill="auto"/>
            <w:noWrap/>
            <w:vAlign w:val="center"/>
            <w:hideMark/>
          </w:tcPr>
          <w:p w14:paraId="17881F70" w14:textId="77777777" w:rsidR="00D37D86" w:rsidRPr="002B164B" w:rsidRDefault="00D37D86" w:rsidP="00FC0C44">
            <w:pPr>
              <w:widowControl/>
              <w:autoSpaceDE/>
              <w:autoSpaceDN/>
              <w:jc w:val="center"/>
              <w:rPr>
                <w:rFonts w:eastAsia="Times New Roman"/>
                <w:b/>
                <w:bCs/>
                <w:sz w:val="20"/>
                <w:szCs w:val="20"/>
                <w:lang w:eastAsia="en-GB"/>
              </w:rPr>
            </w:pPr>
            <w:r w:rsidRPr="002B164B">
              <w:rPr>
                <w:rFonts w:eastAsia="Times New Roman"/>
                <w:b/>
                <w:bCs/>
                <w:sz w:val="20"/>
                <w:szCs w:val="20"/>
                <w:lang w:eastAsia="en-GB"/>
              </w:rPr>
              <w:t>2</w:t>
            </w:r>
            <w:r>
              <w:rPr>
                <w:rFonts w:eastAsia="Times New Roman"/>
                <w:b/>
                <w:bCs/>
                <w:sz w:val="20"/>
                <w:szCs w:val="20"/>
                <w:lang w:eastAsia="en-GB"/>
              </w:rPr>
              <w:t>6.9</w:t>
            </w:r>
            <w:r w:rsidRPr="002B164B">
              <w:rPr>
                <w:rFonts w:eastAsia="Times New Roman"/>
                <w:b/>
                <w:bCs/>
                <w:sz w:val="20"/>
                <w:szCs w:val="20"/>
                <w:lang w:eastAsia="en-GB"/>
              </w:rPr>
              <w:t>%</w:t>
            </w:r>
          </w:p>
        </w:tc>
        <w:tc>
          <w:tcPr>
            <w:tcW w:w="849" w:type="pct"/>
            <w:tcBorders>
              <w:top w:val="nil"/>
              <w:left w:val="nil"/>
              <w:bottom w:val="single" w:sz="4" w:space="0" w:color="auto"/>
              <w:right w:val="single" w:sz="4" w:space="0" w:color="auto"/>
            </w:tcBorders>
            <w:shd w:val="clear" w:color="auto" w:fill="auto"/>
            <w:noWrap/>
            <w:vAlign w:val="center"/>
            <w:hideMark/>
          </w:tcPr>
          <w:p w14:paraId="5C2AB712" w14:textId="77777777" w:rsidR="00D37D86" w:rsidRPr="002B164B" w:rsidRDefault="00D37D86" w:rsidP="00FC0C44">
            <w:pPr>
              <w:widowControl/>
              <w:autoSpaceDE/>
              <w:autoSpaceDN/>
              <w:jc w:val="center"/>
              <w:rPr>
                <w:rFonts w:eastAsia="Times New Roman"/>
                <w:b/>
                <w:bCs/>
                <w:sz w:val="20"/>
                <w:szCs w:val="20"/>
                <w:lang w:eastAsia="en-GB"/>
              </w:rPr>
            </w:pPr>
            <w:r>
              <w:rPr>
                <w:rFonts w:eastAsia="Times New Roman"/>
                <w:b/>
                <w:bCs/>
                <w:sz w:val="20"/>
                <w:szCs w:val="20"/>
                <w:lang w:eastAsia="en-GB"/>
              </w:rPr>
              <w:t>15.3</w:t>
            </w:r>
            <w:r w:rsidRPr="002B164B">
              <w:rPr>
                <w:rFonts w:eastAsia="Times New Roman"/>
                <w:b/>
                <w:bCs/>
                <w:sz w:val="20"/>
                <w:szCs w:val="20"/>
                <w:lang w:eastAsia="en-GB"/>
              </w:rPr>
              <w:t>%</w:t>
            </w:r>
          </w:p>
        </w:tc>
        <w:tc>
          <w:tcPr>
            <w:tcW w:w="846" w:type="pct"/>
            <w:tcBorders>
              <w:top w:val="single" w:sz="4" w:space="0" w:color="auto"/>
              <w:left w:val="nil"/>
              <w:bottom w:val="single" w:sz="4" w:space="0" w:color="auto"/>
              <w:right w:val="single" w:sz="4" w:space="0" w:color="auto"/>
            </w:tcBorders>
            <w:vAlign w:val="center"/>
          </w:tcPr>
          <w:p w14:paraId="6DBE0DE5" w14:textId="77777777" w:rsidR="00D37D86" w:rsidRPr="002B164B" w:rsidRDefault="00D37D86" w:rsidP="00FC0C44">
            <w:pPr>
              <w:widowControl/>
              <w:autoSpaceDE/>
              <w:autoSpaceDN/>
              <w:jc w:val="center"/>
              <w:rPr>
                <w:rFonts w:eastAsia="Times New Roman"/>
                <w:b/>
                <w:bCs/>
                <w:sz w:val="20"/>
                <w:szCs w:val="20"/>
                <w:lang w:eastAsia="en-GB"/>
              </w:rPr>
            </w:pPr>
            <w:r w:rsidRPr="002B164B">
              <w:rPr>
                <w:rFonts w:eastAsia="Times New Roman"/>
                <w:b/>
                <w:bCs/>
                <w:sz w:val="20"/>
                <w:szCs w:val="20"/>
                <w:lang w:eastAsia="en-GB"/>
              </w:rPr>
              <w:t>13</w:t>
            </w:r>
            <w:r>
              <w:rPr>
                <w:rFonts w:eastAsia="Times New Roman"/>
                <w:b/>
                <w:bCs/>
                <w:sz w:val="20"/>
                <w:szCs w:val="20"/>
                <w:lang w:eastAsia="en-GB"/>
              </w:rPr>
              <w:t>.5</w:t>
            </w:r>
            <w:r w:rsidRPr="002B164B">
              <w:rPr>
                <w:rFonts w:eastAsia="Times New Roman"/>
                <w:b/>
                <w:bCs/>
                <w:sz w:val="20"/>
                <w:szCs w:val="20"/>
                <w:lang w:eastAsia="en-GB"/>
              </w:rPr>
              <w:t>%</w:t>
            </w:r>
          </w:p>
        </w:tc>
        <w:tc>
          <w:tcPr>
            <w:tcW w:w="1038" w:type="pct"/>
            <w:vMerge/>
            <w:tcBorders>
              <w:left w:val="single" w:sz="4" w:space="0" w:color="auto"/>
              <w:bottom w:val="single" w:sz="4" w:space="0" w:color="auto"/>
              <w:right w:val="single" w:sz="4" w:space="0" w:color="auto"/>
            </w:tcBorders>
            <w:vAlign w:val="center"/>
          </w:tcPr>
          <w:p w14:paraId="2F27FAA9" w14:textId="77777777" w:rsidR="00D37D86" w:rsidRPr="002B164B" w:rsidRDefault="00D37D86" w:rsidP="00FC0C44">
            <w:pPr>
              <w:widowControl/>
              <w:autoSpaceDE/>
              <w:autoSpaceDN/>
              <w:jc w:val="center"/>
              <w:rPr>
                <w:rFonts w:eastAsia="Times New Roman"/>
                <w:b/>
                <w:bCs/>
                <w:color w:val="FF0000"/>
                <w:sz w:val="20"/>
                <w:szCs w:val="20"/>
                <w:lang w:eastAsia="en-GB"/>
              </w:rPr>
            </w:pPr>
          </w:p>
        </w:tc>
      </w:tr>
    </w:tbl>
    <w:p w14:paraId="308C4A02" w14:textId="03614FFF" w:rsidR="00D37D86" w:rsidRPr="002B164B" w:rsidRDefault="0080193A" w:rsidP="00D37D86">
      <w:pPr>
        <w:ind w:left="-426" w:firstLine="142"/>
        <w:jc w:val="center"/>
      </w:pPr>
      <w:r w:rsidRPr="002B164B">
        <w:rPr>
          <w:noProof/>
        </w:rPr>
        <mc:AlternateContent>
          <mc:Choice Requires="wps">
            <w:drawing>
              <wp:inline distT="0" distB="0" distL="0" distR="0" wp14:anchorId="66C46989" wp14:editId="452F3D86">
                <wp:extent cx="5743575" cy="457200"/>
                <wp:effectExtent l="0" t="0" r="0" b="0"/>
                <wp:docPr id="15" name="Text Box 15"/>
                <wp:cNvGraphicFramePr/>
                <a:graphic xmlns:a="http://schemas.openxmlformats.org/drawingml/2006/main">
                  <a:graphicData uri="http://schemas.microsoft.com/office/word/2010/wordprocessingShape">
                    <wps:wsp>
                      <wps:cNvSpPr txBox="1"/>
                      <wps:spPr>
                        <a:xfrm>
                          <a:off x="0" y="0"/>
                          <a:ext cx="5743575" cy="457200"/>
                        </a:xfrm>
                        <a:prstGeom prst="rect">
                          <a:avLst/>
                        </a:prstGeom>
                        <a:noFill/>
                        <a:ln w="6350">
                          <a:noFill/>
                        </a:ln>
                      </wps:spPr>
                      <wps:txbx>
                        <w:txbxContent>
                          <w:p w14:paraId="03FCD85E" w14:textId="77777777" w:rsidR="00D37D86" w:rsidRPr="007C52A5" w:rsidRDefault="00D37D86" w:rsidP="00D37D86">
                            <w:pPr>
                              <w:rPr>
                                <w:sz w:val="16"/>
                                <w:szCs w:val="16"/>
                              </w:rPr>
                            </w:pPr>
                            <w:bookmarkStart w:id="1" w:name="_Hlk106915441"/>
                            <w:bookmarkEnd w:id="1"/>
                            <w:r w:rsidRPr="007C52A5">
                              <w:rPr>
                                <w:b/>
                                <w:bCs/>
                                <w:sz w:val="16"/>
                                <w:szCs w:val="16"/>
                              </w:rPr>
                              <w:t>Figure 1 –</w:t>
                            </w:r>
                            <w:r w:rsidRPr="007C52A5">
                              <w:rPr>
                                <w:sz w:val="16"/>
                                <w:szCs w:val="16"/>
                              </w:rPr>
                              <w:t xml:space="preserve"> Summary of </w:t>
                            </w:r>
                            <w:r>
                              <w:rPr>
                                <w:sz w:val="16"/>
                                <w:szCs w:val="16"/>
                              </w:rPr>
                              <w:t xml:space="preserve">July </w:t>
                            </w:r>
                            <w:r w:rsidRPr="007C52A5">
                              <w:rPr>
                                <w:sz w:val="16"/>
                                <w:szCs w:val="16"/>
                              </w:rPr>
                              <w:t xml:space="preserve">performance for all indicators. RAG = Green – meets or exceeds the target, Amber – misses target by narrow margin and Red – misses target by significant margin. Please note the margins vary depending on set thresholds for each measure, </w:t>
                            </w:r>
                            <w:r>
                              <w:rPr>
                                <w:sz w:val="16"/>
                                <w:szCs w:val="16"/>
                              </w:rPr>
                              <w:t>e</w:t>
                            </w:r>
                            <w:r w:rsidRPr="007C52A5">
                              <w:rPr>
                                <w:sz w:val="16"/>
                                <w:szCs w:val="16"/>
                              </w:rPr>
                              <w:t xml:space="preserve">stablished using national targets, forecasting and other calculation methods.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6C46989" id="_x0000_t202" coordsize="21600,21600" o:spt="202" path="m,l,21600r21600,l21600,xe">
                <v:stroke joinstyle="miter"/>
                <v:path gradientshapeok="t" o:connecttype="rect"/>
              </v:shapetype>
              <v:shape id="Text Box 15" o:spid="_x0000_s1026" type="#_x0000_t202" style="width:452.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" filled="f" stroked="f" strokeweight=".5pt">
                <v:textbox>
                  <w:txbxContent>
                    <w:p w14:paraId="03FCD85E" w14:textId="77777777" w:rsidR="00D37D86" w:rsidRPr="007C52A5" w:rsidRDefault="00D37D86" w:rsidP="00D37D86">
                      <w:pPr>
                        <w:rPr>
                          <w:sz w:val="16"/>
                          <w:szCs w:val="16"/>
                        </w:rPr>
                      </w:pPr>
                      <w:bookmarkStart w:id="2" w:name="_Hlk106915441"/>
                      <w:bookmarkEnd w:id="2"/>
                      <w:r w:rsidRPr="007C52A5">
                        <w:rPr>
                          <w:b/>
                          <w:bCs/>
                          <w:sz w:val="16"/>
                          <w:szCs w:val="16"/>
                        </w:rPr>
                        <w:t>Figure 1 –</w:t>
                      </w:r>
                      <w:r w:rsidRPr="007C52A5">
                        <w:rPr>
                          <w:sz w:val="16"/>
                          <w:szCs w:val="16"/>
                        </w:rPr>
                        <w:t xml:space="preserve"> Summary of </w:t>
                      </w:r>
                      <w:r>
                        <w:rPr>
                          <w:sz w:val="16"/>
                          <w:szCs w:val="16"/>
                        </w:rPr>
                        <w:t xml:space="preserve">July </w:t>
                      </w:r>
                      <w:r w:rsidRPr="007C52A5">
                        <w:rPr>
                          <w:sz w:val="16"/>
                          <w:szCs w:val="16"/>
                        </w:rPr>
                        <w:t xml:space="preserve">performance for all indicators. RAG = Green – meets or exceeds the target, Amber – misses target by narrow margin and Red – misses target by significant margin. Please note the margins vary depending on set thresholds for each measure, </w:t>
                      </w:r>
                      <w:r>
                        <w:rPr>
                          <w:sz w:val="16"/>
                          <w:szCs w:val="16"/>
                        </w:rPr>
                        <w:t>e</w:t>
                      </w:r>
                      <w:r w:rsidRPr="007C52A5">
                        <w:rPr>
                          <w:sz w:val="16"/>
                          <w:szCs w:val="16"/>
                        </w:rPr>
                        <w:t xml:space="preserve">stablished using national targets, forecasting and other calculation methods.   </w:t>
                      </w:r>
                    </w:p>
                  </w:txbxContent>
                </v:textbox>
                <w10:anchorlock/>
              </v:shape>
            </w:pict>
          </mc:Fallback>
        </mc:AlternateContent>
      </w:r>
    </w:p>
    <w:p w14:paraId="10FFF6E3" w14:textId="77777777" w:rsidR="00D37D86" w:rsidRPr="002B164B" w:rsidRDefault="00D37D86" w:rsidP="00D37D86">
      <w:pPr>
        <w:jc w:val="both"/>
        <w:rPr>
          <w:sz w:val="24"/>
          <w:szCs w:val="24"/>
        </w:rPr>
      </w:pPr>
    </w:p>
    <w:p w14:paraId="46AF12DE" w14:textId="77777777" w:rsidR="00D37D86" w:rsidRPr="002B164B" w:rsidRDefault="00D37D86" w:rsidP="00D37D86">
      <w:pPr>
        <w:jc w:val="both"/>
      </w:pPr>
    </w:p>
    <w:p w14:paraId="4573B586" w14:textId="77777777" w:rsidR="00D37D86" w:rsidRPr="002B164B" w:rsidRDefault="00D37D86" w:rsidP="00D37D86">
      <w:pPr>
        <w:pStyle w:val="ListParagraph"/>
        <w:widowControl/>
        <w:numPr>
          <w:ilvl w:val="0"/>
          <w:numId w:val="37"/>
        </w:numPr>
        <w:autoSpaceDE/>
        <w:autoSpaceDN/>
        <w:rPr>
          <w:rFonts w:eastAsia="Times New Roman"/>
          <w:sz w:val="24"/>
          <w:szCs w:val="24"/>
        </w:rPr>
      </w:pPr>
      <w:r w:rsidRPr="002B164B">
        <w:rPr>
          <w:rFonts w:eastAsia="Times New Roman"/>
          <w:sz w:val="24"/>
          <w:szCs w:val="24"/>
        </w:rPr>
        <w:t xml:space="preserve">The following table lists the </w:t>
      </w:r>
      <w:r>
        <w:rPr>
          <w:rFonts w:eastAsia="Times New Roman"/>
          <w:sz w:val="24"/>
          <w:szCs w:val="24"/>
        </w:rPr>
        <w:t>8</w:t>
      </w:r>
      <w:r w:rsidRPr="002B164B">
        <w:rPr>
          <w:rFonts w:eastAsia="Times New Roman"/>
          <w:sz w:val="24"/>
          <w:szCs w:val="24"/>
        </w:rPr>
        <w:t xml:space="preserve"> measures reporting as Red for this period. Full details can be found in Annex A.</w:t>
      </w:r>
      <w:bookmarkStart w:id="3" w:name="IC_Bus_Management_&amp;_Monitoring_April_-_M"/>
      <w:bookmarkStart w:id="4" w:name="APPENDIX_1_-_CABINET_REPORT"/>
      <w:bookmarkEnd w:id="3"/>
      <w:bookmarkEnd w:id="4"/>
    </w:p>
    <w:p w14:paraId="0307BE95" w14:textId="77777777" w:rsidR="00D37D86" w:rsidRPr="002B164B" w:rsidRDefault="00D37D86" w:rsidP="00D37D86">
      <w:pPr>
        <w:tabs>
          <w:tab w:val="center" w:pos="3155"/>
        </w:tabs>
        <w:rPr>
          <w:noProof/>
        </w:rPr>
      </w:pPr>
    </w:p>
    <w:tbl>
      <w:tblPr>
        <w:tblpPr w:leftFromText="180" w:rightFromText="180" w:vertAnchor="text" w:horzAnchor="page" w:tblpX="1843" w:tblpY="146"/>
        <w:tblW w:w="5000" w:type="pct"/>
        <w:tblLook w:val="04A0" w:firstRow="1" w:lastRow="0" w:firstColumn="1" w:lastColumn="0" w:noHBand="0" w:noVBand="1"/>
      </w:tblPr>
      <w:tblGrid>
        <w:gridCol w:w="9016"/>
      </w:tblGrid>
      <w:tr w:rsidR="00D37D86" w:rsidRPr="002B164B" w14:paraId="05F6B154" w14:textId="77777777" w:rsidTr="00FC0C44">
        <w:trPr>
          <w:trHeight w:val="272"/>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5B2718FE" w14:textId="77777777" w:rsidR="00D37D86" w:rsidRPr="002B164B" w:rsidRDefault="00D37D86" w:rsidP="00FC0C44">
            <w:pPr>
              <w:widowControl/>
              <w:autoSpaceDE/>
              <w:autoSpaceDN/>
              <w:jc w:val="center"/>
              <w:rPr>
                <w:rFonts w:eastAsia="Times New Roman"/>
                <w:b/>
                <w:bCs/>
                <w:color w:val="FF0000"/>
                <w:sz w:val="20"/>
                <w:szCs w:val="20"/>
                <w:lang w:eastAsia="en-GB"/>
              </w:rPr>
            </w:pPr>
            <w:r w:rsidRPr="002B164B">
              <w:rPr>
                <w:rFonts w:eastAsia="Times New Roman"/>
                <w:b/>
                <w:bCs/>
                <w:sz w:val="20"/>
                <w:szCs w:val="20"/>
                <w:lang w:eastAsia="en-GB"/>
              </w:rPr>
              <w:t xml:space="preserve">Performance measures reporting Red for </w:t>
            </w:r>
            <w:r>
              <w:rPr>
                <w:rFonts w:eastAsia="Times New Roman"/>
                <w:b/>
                <w:bCs/>
                <w:sz w:val="20"/>
                <w:szCs w:val="20"/>
                <w:lang w:eastAsia="en-GB"/>
              </w:rPr>
              <w:t>July</w:t>
            </w:r>
            <w:r w:rsidRPr="002B164B">
              <w:rPr>
                <w:rFonts w:eastAsia="Times New Roman"/>
                <w:b/>
                <w:bCs/>
                <w:sz w:val="20"/>
                <w:szCs w:val="20"/>
                <w:lang w:eastAsia="en-GB"/>
              </w:rPr>
              <w:t xml:space="preserve"> 2022 (</w:t>
            </w:r>
            <w:r>
              <w:rPr>
                <w:rFonts w:eastAsia="Times New Roman"/>
                <w:b/>
                <w:bCs/>
                <w:sz w:val="20"/>
                <w:szCs w:val="20"/>
                <w:lang w:eastAsia="en-GB"/>
              </w:rPr>
              <w:t>8</w:t>
            </w:r>
            <w:r w:rsidRPr="002B164B">
              <w:rPr>
                <w:rFonts w:eastAsia="Times New Roman"/>
                <w:b/>
                <w:bCs/>
                <w:sz w:val="20"/>
                <w:szCs w:val="20"/>
                <w:lang w:eastAsia="en-GB"/>
              </w:rPr>
              <w:t>)</w:t>
            </w:r>
          </w:p>
        </w:tc>
      </w:tr>
      <w:tr w:rsidR="00D37D86" w:rsidRPr="002B164B" w14:paraId="1414AEBF" w14:textId="77777777" w:rsidTr="00FC0C44">
        <w:trPr>
          <w:trHeight w:val="27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3FDA0F4" w14:textId="77777777" w:rsidR="00D37D86" w:rsidRPr="002B164B" w:rsidRDefault="00D37D86" w:rsidP="00FC0C44">
            <w:pPr>
              <w:widowControl/>
              <w:autoSpaceDE/>
              <w:autoSpaceDN/>
              <w:rPr>
                <w:rFonts w:eastAsia="Times New Roman"/>
                <w:color w:val="000000"/>
                <w:sz w:val="20"/>
                <w:szCs w:val="20"/>
                <w:highlight w:val="yellow"/>
                <w:lang w:eastAsia="en-GB"/>
              </w:rPr>
            </w:pPr>
            <w:r w:rsidRPr="002B164B">
              <w:rPr>
                <w:rFonts w:eastAsia="Times New Roman"/>
                <w:b/>
                <w:bCs/>
                <w:color w:val="000000"/>
                <w:sz w:val="20"/>
                <w:szCs w:val="20"/>
                <w:lang w:eastAsia="en-GB"/>
              </w:rPr>
              <w:t>OCC07.01:</w:t>
            </w:r>
            <w:r w:rsidRPr="002B164B">
              <w:rPr>
                <w:rFonts w:eastAsia="Times New Roman"/>
                <w:color w:val="000000"/>
                <w:sz w:val="20"/>
                <w:szCs w:val="20"/>
                <w:lang w:eastAsia="en-GB"/>
              </w:rPr>
              <w:t xml:space="preserve"> Number of contacts into the MASH</w:t>
            </w:r>
          </w:p>
        </w:tc>
      </w:tr>
      <w:tr w:rsidR="00D37D86" w:rsidRPr="002B164B" w14:paraId="7A174987" w14:textId="77777777" w:rsidTr="00FC0C44">
        <w:trPr>
          <w:trHeight w:val="27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880A3C2" w14:textId="77777777" w:rsidR="00D37D86" w:rsidRPr="002B164B" w:rsidRDefault="00D37D86" w:rsidP="00FC0C44">
            <w:pPr>
              <w:widowControl/>
              <w:autoSpaceDE/>
              <w:autoSpaceDN/>
              <w:rPr>
                <w:rFonts w:eastAsia="Times New Roman"/>
                <w:color w:val="000000"/>
                <w:sz w:val="20"/>
                <w:szCs w:val="20"/>
                <w:lang w:eastAsia="en-GB"/>
              </w:rPr>
            </w:pPr>
            <w:r w:rsidRPr="002B164B">
              <w:rPr>
                <w:rFonts w:eastAsia="Times New Roman"/>
                <w:b/>
                <w:bCs/>
                <w:color w:val="000000"/>
                <w:sz w:val="20"/>
                <w:szCs w:val="20"/>
                <w:lang w:eastAsia="en-GB"/>
              </w:rPr>
              <w:t>OCC07.03:</w:t>
            </w:r>
            <w:r w:rsidRPr="002B164B">
              <w:rPr>
                <w:rFonts w:eastAsia="Times New Roman"/>
                <w:color w:val="000000"/>
                <w:sz w:val="20"/>
                <w:szCs w:val="20"/>
                <w:lang w:eastAsia="en-GB"/>
              </w:rPr>
              <w:t xml:space="preserve"> Number of early help assessments completed by health visitors</w:t>
            </w:r>
          </w:p>
        </w:tc>
      </w:tr>
      <w:tr w:rsidR="00D37D86" w:rsidRPr="002B164B" w14:paraId="65CAE8A7" w14:textId="77777777" w:rsidTr="00FC0C44">
        <w:trPr>
          <w:trHeight w:val="27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A6CAA37" w14:textId="77777777" w:rsidR="00D37D86" w:rsidRPr="002B164B" w:rsidRDefault="00D37D86" w:rsidP="00FC0C44">
            <w:pPr>
              <w:widowControl/>
              <w:autoSpaceDE/>
              <w:autoSpaceDN/>
              <w:rPr>
                <w:b/>
                <w:bCs/>
                <w:sz w:val="20"/>
                <w:szCs w:val="20"/>
              </w:rPr>
            </w:pPr>
            <w:r w:rsidRPr="002B164B">
              <w:rPr>
                <w:b/>
                <w:bCs/>
                <w:sz w:val="20"/>
                <w:szCs w:val="20"/>
              </w:rPr>
              <w:t xml:space="preserve">OCC07.06: </w:t>
            </w:r>
            <w:r w:rsidRPr="002B164B">
              <w:rPr>
                <w:sz w:val="20"/>
                <w:szCs w:val="20"/>
              </w:rPr>
              <w:t>No of children we care for (excluding Unaccompanied Children)</w:t>
            </w:r>
          </w:p>
        </w:tc>
      </w:tr>
      <w:tr w:rsidR="00D37D86" w:rsidRPr="002B164B" w14:paraId="6D0D831B" w14:textId="77777777" w:rsidTr="00FC0C44">
        <w:trPr>
          <w:trHeight w:val="27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44C455B" w14:textId="77777777" w:rsidR="00D37D86" w:rsidRPr="002B164B" w:rsidRDefault="00D37D86" w:rsidP="00FC0C44">
            <w:pPr>
              <w:spacing w:before="10"/>
              <w:rPr>
                <w:sz w:val="20"/>
                <w:szCs w:val="20"/>
              </w:rPr>
            </w:pPr>
            <w:r w:rsidRPr="002B164B">
              <w:rPr>
                <w:b/>
                <w:bCs/>
                <w:sz w:val="20"/>
                <w:szCs w:val="20"/>
              </w:rPr>
              <w:t>OCC07.10:</w:t>
            </w:r>
            <w:r w:rsidRPr="002B164B">
              <w:rPr>
                <w:sz w:val="20"/>
                <w:szCs w:val="20"/>
              </w:rPr>
              <w:t xml:space="preserve"> % of Education Health &amp; Care Plans completed within 20 weeks</w:t>
            </w:r>
          </w:p>
        </w:tc>
      </w:tr>
      <w:tr w:rsidR="00D37D86" w:rsidRPr="002B164B" w14:paraId="4C3A345B" w14:textId="77777777" w:rsidTr="00FC0C44">
        <w:trPr>
          <w:trHeight w:val="27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A6B94DA" w14:textId="77777777" w:rsidR="00D37D86" w:rsidRPr="002B164B" w:rsidRDefault="00D37D86" w:rsidP="00FC0C44">
            <w:pPr>
              <w:spacing w:before="10"/>
              <w:rPr>
                <w:b/>
                <w:bCs/>
                <w:sz w:val="20"/>
                <w:szCs w:val="20"/>
              </w:rPr>
            </w:pPr>
            <w:r w:rsidRPr="00411163">
              <w:rPr>
                <w:b/>
                <w:bCs/>
                <w:sz w:val="20"/>
                <w:szCs w:val="20"/>
              </w:rPr>
              <w:t xml:space="preserve">OCC11.02: </w:t>
            </w:r>
            <w:r w:rsidRPr="00411163">
              <w:rPr>
                <w:sz w:val="20"/>
                <w:szCs w:val="20"/>
              </w:rPr>
              <w:t>Achievement of planned savings</w:t>
            </w:r>
          </w:p>
        </w:tc>
      </w:tr>
      <w:tr w:rsidR="00D37D86" w:rsidRPr="002B164B" w14:paraId="7E50601D" w14:textId="77777777" w:rsidTr="00FC0C44">
        <w:trPr>
          <w:trHeight w:val="27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FF753A2" w14:textId="77777777" w:rsidR="00D37D86" w:rsidRPr="002B164B" w:rsidRDefault="00D37D86" w:rsidP="00FC0C44">
            <w:pPr>
              <w:spacing w:before="10"/>
              <w:rPr>
                <w:b/>
                <w:bCs/>
                <w:sz w:val="20"/>
                <w:szCs w:val="20"/>
              </w:rPr>
            </w:pPr>
            <w:r w:rsidRPr="00411163">
              <w:rPr>
                <w:b/>
                <w:bCs/>
                <w:sz w:val="20"/>
                <w:szCs w:val="20"/>
              </w:rPr>
              <w:t xml:space="preserve">OCC11.05: </w:t>
            </w:r>
            <w:r w:rsidRPr="00411163">
              <w:rPr>
                <w:sz w:val="20"/>
                <w:szCs w:val="20"/>
              </w:rPr>
              <w:t>Directorates deliver services and achieve planned performance within agreed budget</w:t>
            </w:r>
          </w:p>
        </w:tc>
      </w:tr>
      <w:tr w:rsidR="00D37D86" w:rsidRPr="002B164B" w14:paraId="27873C26" w14:textId="77777777" w:rsidTr="00FC0C44">
        <w:trPr>
          <w:trHeight w:val="27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C8438E3" w14:textId="77777777" w:rsidR="00D37D86" w:rsidRPr="00285619" w:rsidRDefault="00D37D86" w:rsidP="00FC0C44">
            <w:pPr>
              <w:spacing w:before="10"/>
              <w:rPr>
                <w:sz w:val="20"/>
                <w:szCs w:val="20"/>
              </w:rPr>
            </w:pPr>
            <w:r w:rsidRPr="00285619">
              <w:rPr>
                <w:b/>
                <w:bCs/>
                <w:sz w:val="20"/>
                <w:szCs w:val="20"/>
              </w:rPr>
              <w:t>OCC11.06</w:t>
            </w:r>
            <w:r w:rsidRPr="00285619">
              <w:rPr>
                <w:sz w:val="20"/>
                <w:szCs w:val="20"/>
              </w:rPr>
              <w:t>: Total outturn variation for the dedicated schools grant funded services</w:t>
            </w:r>
          </w:p>
        </w:tc>
      </w:tr>
      <w:tr w:rsidR="00D37D86" w:rsidRPr="002B164B" w14:paraId="55BEE975" w14:textId="77777777" w:rsidTr="00FC0C44">
        <w:trPr>
          <w:trHeight w:val="27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A1B5600" w14:textId="77777777" w:rsidR="00D37D86" w:rsidRPr="002B164B" w:rsidRDefault="00D37D86" w:rsidP="00FC0C44">
            <w:pPr>
              <w:widowControl/>
              <w:autoSpaceDE/>
              <w:autoSpaceDN/>
              <w:rPr>
                <w:rFonts w:eastAsia="Times New Roman"/>
                <w:color w:val="000000"/>
                <w:sz w:val="20"/>
                <w:szCs w:val="20"/>
                <w:lang w:eastAsia="en-GB"/>
              </w:rPr>
            </w:pPr>
            <w:r w:rsidRPr="002B164B">
              <w:rPr>
                <w:rFonts w:eastAsia="Times New Roman"/>
                <w:b/>
                <w:bCs/>
                <w:color w:val="000000"/>
                <w:sz w:val="20"/>
                <w:szCs w:val="20"/>
                <w:lang w:eastAsia="en-GB"/>
              </w:rPr>
              <w:t>OCC11.11:</w:t>
            </w:r>
            <w:r w:rsidRPr="002B164B">
              <w:rPr>
                <w:rFonts w:eastAsia="Times New Roman"/>
                <w:color w:val="000000"/>
                <w:sz w:val="20"/>
                <w:szCs w:val="20"/>
                <w:lang w:eastAsia="en-GB"/>
              </w:rPr>
              <w:t xml:space="preserve"> Debt requiring impairment ­ ASC contribution debtors</w:t>
            </w:r>
          </w:p>
        </w:tc>
      </w:tr>
    </w:tbl>
    <w:p w14:paraId="180F14D5" w14:textId="77777777" w:rsidR="00D37D86" w:rsidRPr="002B164B" w:rsidRDefault="00D37D86" w:rsidP="00D37D86">
      <w:pPr>
        <w:tabs>
          <w:tab w:val="center" w:pos="3155"/>
        </w:tabs>
        <w:ind w:left="426"/>
        <w:rPr>
          <w:sz w:val="16"/>
          <w:szCs w:val="16"/>
        </w:rPr>
      </w:pPr>
      <w:r w:rsidRPr="002B164B">
        <w:rPr>
          <w:b/>
          <w:bCs/>
          <w:sz w:val="16"/>
          <w:szCs w:val="16"/>
        </w:rPr>
        <w:t>Figure 2 –</w:t>
      </w:r>
      <w:r w:rsidRPr="002B164B">
        <w:rPr>
          <w:sz w:val="16"/>
          <w:szCs w:val="16"/>
        </w:rPr>
        <w:t xml:space="preserve"> Summary of the Red measures </w:t>
      </w:r>
    </w:p>
    <w:p w14:paraId="159EF55D" w14:textId="77777777" w:rsidR="00D37D86" w:rsidRPr="002B164B" w:rsidRDefault="00D37D86" w:rsidP="00D37D86">
      <w:pPr>
        <w:tabs>
          <w:tab w:val="center" w:pos="3155"/>
        </w:tabs>
        <w:ind w:left="426"/>
        <w:rPr>
          <w:noProof/>
        </w:rPr>
      </w:pPr>
    </w:p>
    <w:p w14:paraId="0E37BD4A" w14:textId="77777777" w:rsidR="00D37D86" w:rsidRPr="002B164B" w:rsidRDefault="00D37D86" w:rsidP="00D37D86">
      <w:pPr>
        <w:pStyle w:val="ListParagraph"/>
        <w:widowControl/>
        <w:numPr>
          <w:ilvl w:val="0"/>
          <w:numId w:val="37"/>
        </w:numPr>
        <w:autoSpaceDE/>
        <w:autoSpaceDN/>
        <w:rPr>
          <w:rFonts w:eastAsia="Times New Roman"/>
          <w:sz w:val="24"/>
          <w:szCs w:val="24"/>
        </w:rPr>
      </w:pPr>
      <w:r w:rsidRPr="002B164B">
        <w:rPr>
          <w:rFonts w:eastAsia="Times New Roman"/>
          <w:sz w:val="24"/>
          <w:szCs w:val="24"/>
        </w:rPr>
        <w:t>This table indicates the direction of travel of measures compared to June 2022.</w:t>
      </w:r>
    </w:p>
    <w:tbl>
      <w:tblPr>
        <w:tblpPr w:leftFromText="180" w:rightFromText="180" w:vertAnchor="text" w:horzAnchor="margin" w:tblpX="421" w:tblpY="120"/>
        <w:tblW w:w="8505" w:type="dxa"/>
        <w:tblLook w:val="04A0" w:firstRow="1" w:lastRow="0" w:firstColumn="1" w:lastColumn="0" w:noHBand="0" w:noVBand="1"/>
      </w:tblPr>
      <w:tblGrid>
        <w:gridCol w:w="1838"/>
        <w:gridCol w:w="6667"/>
      </w:tblGrid>
      <w:tr w:rsidR="00D37D86" w:rsidRPr="002B164B" w14:paraId="50A523F6" w14:textId="77777777" w:rsidTr="00FC0C44">
        <w:trPr>
          <w:trHeight w:val="27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584D2" w14:textId="77777777" w:rsidR="00D37D86" w:rsidRPr="002B164B" w:rsidRDefault="00D37D86" w:rsidP="00FC0C44">
            <w:pPr>
              <w:widowControl/>
              <w:autoSpaceDE/>
              <w:autoSpaceDN/>
              <w:rPr>
                <w:rFonts w:eastAsia="Times New Roman"/>
                <w:b/>
                <w:bCs/>
                <w:color w:val="000000"/>
                <w:sz w:val="20"/>
                <w:szCs w:val="20"/>
                <w:lang w:eastAsia="en-GB"/>
              </w:rPr>
            </w:pPr>
            <w:r w:rsidRPr="002B164B">
              <w:rPr>
                <w:rFonts w:eastAsia="Times New Roman"/>
                <w:b/>
                <w:bCs/>
                <w:color w:val="000000"/>
                <w:sz w:val="20"/>
                <w:szCs w:val="20"/>
                <w:lang w:eastAsia="en-GB"/>
              </w:rPr>
              <w:t>Status changes – June to July 2022</w:t>
            </w:r>
          </w:p>
        </w:tc>
      </w:tr>
      <w:tr w:rsidR="00D37D86" w:rsidRPr="002B164B" w14:paraId="149A3661" w14:textId="77777777" w:rsidTr="00FC0C44">
        <w:trPr>
          <w:trHeight w:val="282"/>
        </w:trPr>
        <w:tc>
          <w:tcPr>
            <w:tcW w:w="1838" w:type="dxa"/>
            <w:tcBorders>
              <w:top w:val="single" w:sz="4" w:space="0" w:color="auto"/>
              <w:left w:val="single" w:sz="4" w:space="0" w:color="auto"/>
              <w:bottom w:val="single" w:sz="4" w:space="0" w:color="auto"/>
              <w:right w:val="single" w:sz="4" w:space="0" w:color="auto"/>
            </w:tcBorders>
            <w:shd w:val="clear" w:color="auto" w:fill="92D050"/>
            <w:vAlign w:val="center"/>
          </w:tcPr>
          <w:p w14:paraId="6A616CA1" w14:textId="77777777" w:rsidR="00D37D86" w:rsidRPr="002B164B" w:rsidRDefault="00D37D86" w:rsidP="00FC0C44">
            <w:pPr>
              <w:widowControl/>
              <w:autoSpaceDE/>
              <w:autoSpaceDN/>
              <w:rPr>
                <w:rFonts w:eastAsia="Times New Roman"/>
                <w:b/>
                <w:bCs/>
                <w:color w:val="000000"/>
                <w:sz w:val="20"/>
                <w:szCs w:val="20"/>
                <w:lang w:eastAsia="en-GB"/>
              </w:rPr>
            </w:pPr>
            <w:r w:rsidRPr="002B164B">
              <w:rPr>
                <w:rFonts w:eastAsia="Times New Roman"/>
                <w:b/>
                <w:bCs/>
                <w:color w:val="000000"/>
                <w:sz w:val="20"/>
                <w:szCs w:val="20"/>
                <w:lang w:eastAsia="en-GB"/>
              </w:rPr>
              <w:t>Red to Green</w:t>
            </w:r>
          </w:p>
        </w:tc>
        <w:tc>
          <w:tcPr>
            <w:tcW w:w="6667" w:type="dxa"/>
            <w:tcBorders>
              <w:top w:val="single" w:sz="4" w:space="0" w:color="auto"/>
              <w:left w:val="nil"/>
              <w:bottom w:val="single" w:sz="4" w:space="0" w:color="auto"/>
              <w:right w:val="single" w:sz="4" w:space="0" w:color="auto"/>
            </w:tcBorders>
            <w:shd w:val="clear" w:color="auto" w:fill="auto"/>
            <w:vAlign w:val="center"/>
          </w:tcPr>
          <w:p w14:paraId="36915BA4" w14:textId="77777777" w:rsidR="00D37D86" w:rsidRPr="002B164B" w:rsidRDefault="00D37D86" w:rsidP="00FC0C44">
            <w:pPr>
              <w:widowControl/>
              <w:autoSpaceDE/>
              <w:autoSpaceDN/>
              <w:rPr>
                <w:rFonts w:eastAsia="Times New Roman"/>
                <w:sz w:val="20"/>
                <w:szCs w:val="20"/>
                <w:lang w:eastAsia="en-GB"/>
              </w:rPr>
            </w:pPr>
            <w:r w:rsidRPr="002B164B">
              <w:rPr>
                <w:rFonts w:eastAsia="Times New Roman"/>
                <w:b/>
                <w:bCs/>
                <w:sz w:val="20"/>
                <w:szCs w:val="20"/>
                <w:lang w:eastAsia="en-GB"/>
              </w:rPr>
              <w:t>OCC02.04:</w:t>
            </w:r>
            <w:r w:rsidRPr="002B164B">
              <w:rPr>
                <w:b/>
                <w:bCs/>
                <w:sz w:val="20"/>
                <w:szCs w:val="20"/>
                <w:lang w:eastAsia="en-GB"/>
              </w:rPr>
              <w:t xml:space="preserve"> </w:t>
            </w:r>
            <w:r w:rsidRPr="002B164B">
              <w:rPr>
                <w:rFonts w:eastAsia="Times New Roman"/>
                <w:sz w:val="20"/>
                <w:szCs w:val="20"/>
                <w:lang w:eastAsia="en-GB"/>
              </w:rPr>
              <w:t>Number of physical visits to Libraries</w:t>
            </w:r>
          </w:p>
          <w:p w14:paraId="017585CA" w14:textId="77777777" w:rsidR="00D37D86" w:rsidRPr="002B164B" w:rsidRDefault="00D37D86" w:rsidP="00FC0C44">
            <w:pPr>
              <w:widowControl/>
              <w:autoSpaceDE/>
              <w:autoSpaceDN/>
              <w:rPr>
                <w:rFonts w:eastAsia="Times New Roman"/>
                <w:sz w:val="20"/>
                <w:szCs w:val="20"/>
                <w:lang w:eastAsia="en-GB"/>
              </w:rPr>
            </w:pPr>
            <w:r w:rsidRPr="002B164B">
              <w:rPr>
                <w:rFonts w:eastAsia="Times New Roman"/>
                <w:b/>
                <w:bCs/>
                <w:sz w:val="20"/>
                <w:szCs w:val="20"/>
                <w:lang w:eastAsia="en-GB"/>
              </w:rPr>
              <w:t>OCC05.02:</w:t>
            </w:r>
            <w:r w:rsidRPr="002B164B">
              <w:rPr>
                <w:rFonts w:eastAsia="Times New Roman"/>
                <w:sz w:val="20"/>
                <w:szCs w:val="20"/>
                <w:lang w:eastAsia="en-GB"/>
              </w:rPr>
              <w:t xml:space="preserve"> % of contracted seats designated to school children</w:t>
            </w:r>
          </w:p>
        </w:tc>
      </w:tr>
      <w:tr w:rsidR="00D37D86" w:rsidRPr="002B164B" w14:paraId="5E12107E" w14:textId="77777777" w:rsidTr="00FC0C44">
        <w:trPr>
          <w:trHeight w:val="282"/>
        </w:trPr>
        <w:tc>
          <w:tcPr>
            <w:tcW w:w="1838" w:type="dxa"/>
            <w:tcBorders>
              <w:top w:val="single" w:sz="4" w:space="0" w:color="auto"/>
              <w:left w:val="single" w:sz="4" w:space="0" w:color="auto"/>
              <w:bottom w:val="single" w:sz="4" w:space="0" w:color="auto"/>
              <w:right w:val="single" w:sz="4" w:space="0" w:color="auto"/>
            </w:tcBorders>
            <w:shd w:val="clear" w:color="auto" w:fill="92D050"/>
            <w:vAlign w:val="center"/>
          </w:tcPr>
          <w:p w14:paraId="7B24F037" w14:textId="77777777" w:rsidR="00D37D86" w:rsidRPr="002B164B" w:rsidRDefault="00D37D86" w:rsidP="00FC0C44">
            <w:pPr>
              <w:widowControl/>
              <w:autoSpaceDE/>
              <w:autoSpaceDN/>
              <w:rPr>
                <w:rFonts w:eastAsia="Times New Roman"/>
                <w:b/>
                <w:bCs/>
                <w:color w:val="000000"/>
                <w:sz w:val="20"/>
                <w:szCs w:val="20"/>
                <w:lang w:eastAsia="en-GB"/>
              </w:rPr>
            </w:pPr>
            <w:r w:rsidRPr="002B164B">
              <w:rPr>
                <w:rFonts w:eastAsia="Times New Roman"/>
                <w:b/>
                <w:bCs/>
                <w:color w:val="000000"/>
                <w:sz w:val="20"/>
                <w:szCs w:val="20"/>
                <w:lang w:eastAsia="en-GB"/>
              </w:rPr>
              <w:t>Amber to Green</w:t>
            </w:r>
          </w:p>
        </w:tc>
        <w:tc>
          <w:tcPr>
            <w:tcW w:w="6667" w:type="dxa"/>
            <w:tcBorders>
              <w:top w:val="single" w:sz="4" w:space="0" w:color="auto"/>
              <w:left w:val="nil"/>
              <w:bottom w:val="single" w:sz="4" w:space="0" w:color="auto"/>
              <w:right w:val="single" w:sz="4" w:space="0" w:color="auto"/>
            </w:tcBorders>
            <w:shd w:val="clear" w:color="auto" w:fill="auto"/>
            <w:vAlign w:val="center"/>
          </w:tcPr>
          <w:p w14:paraId="53207689" w14:textId="77777777" w:rsidR="00D37D86" w:rsidRPr="002B164B" w:rsidRDefault="00D37D86" w:rsidP="00FC0C44">
            <w:pPr>
              <w:widowControl/>
              <w:autoSpaceDE/>
              <w:autoSpaceDN/>
              <w:rPr>
                <w:rFonts w:eastAsia="Times New Roman"/>
                <w:sz w:val="20"/>
                <w:szCs w:val="20"/>
                <w:lang w:eastAsia="en-GB"/>
              </w:rPr>
            </w:pPr>
            <w:r w:rsidRPr="002B164B">
              <w:rPr>
                <w:rFonts w:eastAsia="Times New Roman"/>
                <w:b/>
                <w:bCs/>
                <w:sz w:val="20"/>
                <w:szCs w:val="20"/>
                <w:lang w:eastAsia="en-GB"/>
              </w:rPr>
              <w:t>OCC02.03:</w:t>
            </w:r>
            <w:r w:rsidRPr="002B164B">
              <w:rPr>
                <w:rFonts w:eastAsia="Times New Roman"/>
                <w:sz w:val="20"/>
                <w:szCs w:val="20"/>
                <w:lang w:eastAsia="en-GB"/>
              </w:rPr>
              <w:t xml:space="preserve"> Digital engagement with Heritage services (Museums Service and Oxfordshire History Centre)</w:t>
            </w:r>
          </w:p>
          <w:p w14:paraId="1F705471" w14:textId="77777777" w:rsidR="00D37D86" w:rsidRPr="002B164B" w:rsidRDefault="00D37D86" w:rsidP="00FC0C44">
            <w:pPr>
              <w:widowControl/>
              <w:autoSpaceDE/>
              <w:autoSpaceDN/>
              <w:rPr>
                <w:rFonts w:eastAsia="Times New Roman"/>
                <w:sz w:val="20"/>
                <w:szCs w:val="20"/>
                <w:lang w:eastAsia="en-GB"/>
              </w:rPr>
            </w:pPr>
            <w:r w:rsidRPr="002B164B">
              <w:rPr>
                <w:rFonts w:eastAsia="Times New Roman"/>
                <w:b/>
                <w:bCs/>
                <w:sz w:val="20"/>
                <w:szCs w:val="20"/>
                <w:lang w:eastAsia="en-GB"/>
              </w:rPr>
              <w:t>OCC03.05:</w:t>
            </w:r>
            <w:r w:rsidRPr="002B164B">
              <w:rPr>
                <w:rFonts w:eastAsia="Times New Roman"/>
                <w:sz w:val="20"/>
                <w:szCs w:val="20"/>
                <w:lang w:eastAsia="en-GB"/>
              </w:rPr>
              <w:t xml:space="preserve"> Number of library issues (books, DVD, CD's, </w:t>
            </w:r>
            <w:proofErr w:type="spellStart"/>
            <w:r w:rsidRPr="002B164B">
              <w:rPr>
                <w:rFonts w:eastAsia="Times New Roman"/>
                <w:sz w:val="20"/>
                <w:szCs w:val="20"/>
                <w:lang w:eastAsia="en-GB"/>
              </w:rPr>
              <w:t>E­books</w:t>
            </w:r>
            <w:proofErr w:type="spellEnd"/>
            <w:r w:rsidRPr="002B164B">
              <w:rPr>
                <w:rFonts w:eastAsia="Times New Roman"/>
                <w:sz w:val="20"/>
                <w:szCs w:val="20"/>
                <w:lang w:eastAsia="en-GB"/>
              </w:rPr>
              <w:t>)</w:t>
            </w:r>
          </w:p>
          <w:p w14:paraId="33643164" w14:textId="77777777" w:rsidR="00D37D86" w:rsidRPr="002B164B" w:rsidRDefault="00D37D86" w:rsidP="00FC0C44">
            <w:pPr>
              <w:widowControl/>
              <w:autoSpaceDE/>
              <w:autoSpaceDN/>
              <w:rPr>
                <w:rFonts w:eastAsia="Times New Roman"/>
                <w:sz w:val="20"/>
                <w:szCs w:val="20"/>
                <w:lang w:eastAsia="en-GB"/>
              </w:rPr>
            </w:pPr>
            <w:r w:rsidRPr="002B164B">
              <w:rPr>
                <w:rFonts w:eastAsia="Times New Roman"/>
                <w:b/>
                <w:bCs/>
                <w:sz w:val="20"/>
                <w:szCs w:val="20"/>
                <w:lang w:eastAsia="en-GB"/>
              </w:rPr>
              <w:t>OCC04.08</w:t>
            </w:r>
            <w:r w:rsidRPr="002B164B">
              <w:rPr>
                <w:rFonts w:eastAsia="Times New Roman"/>
                <w:sz w:val="20"/>
                <w:szCs w:val="20"/>
                <w:lang w:eastAsia="en-GB"/>
              </w:rPr>
              <w:t>:</w:t>
            </w:r>
            <w:r w:rsidRPr="002B164B">
              <w:t xml:space="preserve"> </w:t>
            </w:r>
            <w:r w:rsidRPr="002B164B">
              <w:rPr>
                <w:rFonts w:eastAsia="Times New Roman"/>
                <w:sz w:val="20"/>
                <w:szCs w:val="20"/>
                <w:lang w:eastAsia="en-GB"/>
              </w:rPr>
              <w:t>No of visits to Live Well Oxfordshire</w:t>
            </w:r>
          </w:p>
          <w:p w14:paraId="25C7A7F7" w14:textId="77777777" w:rsidR="00D37D86" w:rsidRPr="002B164B" w:rsidRDefault="00D37D86" w:rsidP="00FC0C44">
            <w:pPr>
              <w:widowControl/>
              <w:autoSpaceDE/>
              <w:autoSpaceDN/>
              <w:rPr>
                <w:rFonts w:eastAsia="Times New Roman"/>
                <w:sz w:val="20"/>
                <w:szCs w:val="20"/>
                <w:lang w:eastAsia="en-GB"/>
              </w:rPr>
            </w:pPr>
            <w:r w:rsidRPr="002B164B">
              <w:rPr>
                <w:rFonts w:eastAsia="Times New Roman"/>
                <w:b/>
                <w:bCs/>
                <w:sz w:val="20"/>
                <w:szCs w:val="20"/>
                <w:lang w:eastAsia="en-GB"/>
              </w:rPr>
              <w:t>OCC07.05:</w:t>
            </w:r>
            <w:r w:rsidRPr="002B164B">
              <w:t xml:space="preserve"> </w:t>
            </w:r>
            <w:r w:rsidRPr="002B164B">
              <w:rPr>
                <w:rFonts w:eastAsia="Times New Roman"/>
                <w:sz w:val="20"/>
                <w:szCs w:val="20"/>
                <w:lang w:eastAsia="en-GB"/>
              </w:rPr>
              <w:t xml:space="preserve">No of children we care for who are Unaccompanied </w:t>
            </w:r>
            <w:proofErr w:type="gramStart"/>
            <w:r w:rsidRPr="002B164B">
              <w:rPr>
                <w:rFonts w:eastAsia="Times New Roman"/>
                <w:sz w:val="20"/>
                <w:szCs w:val="20"/>
                <w:lang w:eastAsia="en-GB"/>
              </w:rPr>
              <w:t>Asylum Seeking</w:t>
            </w:r>
            <w:proofErr w:type="gramEnd"/>
            <w:r w:rsidRPr="002B164B">
              <w:rPr>
                <w:rFonts w:eastAsia="Times New Roman"/>
                <w:sz w:val="20"/>
                <w:szCs w:val="20"/>
                <w:lang w:eastAsia="en-GB"/>
              </w:rPr>
              <w:t xml:space="preserve"> Children</w:t>
            </w:r>
          </w:p>
          <w:p w14:paraId="77837203" w14:textId="77777777" w:rsidR="00D37D86" w:rsidRPr="002B164B" w:rsidRDefault="00D37D86" w:rsidP="00FC0C44">
            <w:pPr>
              <w:widowControl/>
              <w:autoSpaceDE/>
              <w:autoSpaceDN/>
              <w:rPr>
                <w:rFonts w:eastAsia="Times New Roman"/>
                <w:sz w:val="20"/>
                <w:szCs w:val="20"/>
                <w:lang w:eastAsia="en-GB"/>
              </w:rPr>
            </w:pPr>
            <w:r w:rsidRPr="002B164B">
              <w:rPr>
                <w:rFonts w:eastAsia="Times New Roman"/>
                <w:b/>
                <w:bCs/>
                <w:sz w:val="20"/>
                <w:szCs w:val="20"/>
                <w:lang w:eastAsia="en-GB"/>
              </w:rPr>
              <w:t>OCC07.07:</w:t>
            </w:r>
            <w:r w:rsidRPr="002B164B">
              <w:t xml:space="preserve"> </w:t>
            </w:r>
            <w:r w:rsidRPr="002B164B">
              <w:rPr>
                <w:rFonts w:eastAsia="Times New Roman"/>
                <w:sz w:val="20"/>
                <w:szCs w:val="20"/>
                <w:lang w:eastAsia="en-GB"/>
              </w:rPr>
              <w:t>Number of child protection plans</w:t>
            </w:r>
          </w:p>
          <w:p w14:paraId="08B9E1A4" w14:textId="77777777" w:rsidR="00D37D86" w:rsidRPr="002B164B" w:rsidRDefault="00D37D86" w:rsidP="00FC0C44">
            <w:pPr>
              <w:widowControl/>
              <w:autoSpaceDE/>
              <w:autoSpaceDN/>
              <w:rPr>
                <w:rFonts w:eastAsia="Times New Roman"/>
                <w:sz w:val="20"/>
                <w:szCs w:val="20"/>
                <w:lang w:eastAsia="en-GB"/>
              </w:rPr>
            </w:pPr>
            <w:r w:rsidRPr="002B164B">
              <w:rPr>
                <w:rFonts w:eastAsia="Times New Roman"/>
                <w:b/>
                <w:bCs/>
                <w:sz w:val="20"/>
                <w:szCs w:val="20"/>
                <w:lang w:eastAsia="en-GB"/>
              </w:rPr>
              <w:t>OCC11.09:</w:t>
            </w:r>
            <w:r w:rsidRPr="002B164B">
              <w:t xml:space="preserve"> </w:t>
            </w:r>
            <w:r w:rsidRPr="002B164B">
              <w:rPr>
                <w:rFonts w:eastAsia="Times New Roman"/>
                <w:sz w:val="20"/>
                <w:szCs w:val="20"/>
                <w:lang w:eastAsia="en-GB"/>
              </w:rPr>
              <w:t>Invoice collection rate ­ Corporate Debtors</w:t>
            </w:r>
          </w:p>
        </w:tc>
      </w:tr>
      <w:tr w:rsidR="00D37D86" w:rsidRPr="002B164B" w14:paraId="62B8419B" w14:textId="77777777" w:rsidTr="00FC0C44">
        <w:trPr>
          <w:trHeight w:val="282"/>
        </w:trPr>
        <w:tc>
          <w:tcPr>
            <w:tcW w:w="1838" w:type="dxa"/>
            <w:tcBorders>
              <w:top w:val="single" w:sz="4" w:space="0" w:color="auto"/>
              <w:left w:val="single" w:sz="4" w:space="0" w:color="auto"/>
              <w:bottom w:val="single" w:sz="4" w:space="0" w:color="auto"/>
              <w:right w:val="single" w:sz="4" w:space="0" w:color="auto"/>
            </w:tcBorders>
            <w:shd w:val="clear" w:color="auto" w:fill="FFC000"/>
            <w:vAlign w:val="center"/>
          </w:tcPr>
          <w:p w14:paraId="760F8949" w14:textId="77777777" w:rsidR="00D37D86" w:rsidRPr="002B164B" w:rsidRDefault="00D37D86" w:rsidP="00FC0C44">
            <w:pPr>
              <w:widowControl/>
              <w:autoSpaceDE/>
              <w:autoSpaceDN/>
              <w:rPr>
                <w:rFonts w:eastAsia="Times New Roman"/>
                <w:b/>
                <w:bCs/>
                <w:color w:val="000000"/>
                <w:sz w:val="20"/>
                <w:szCs w:val="20"/>
                <w:lang w:eastAsia="en-GB"/>
              </w:rPr>
            </w:pPr>
            <w:r w:rsidRPr="002B164B">
              <w:rPr>
                <w:rFonts w:eastAsia="Times New Roman"/>
                <w:b/>
                <w:bCs/>
                <w:color w:val="000000"/>
                <w:sz w:val="20"/>
                <w:szCs w:val="20"/>
                <w:lang w:eastAsia="en-GB"/>
              </w:rPr>
              <w:t>Red to Amber</w:t>
            </w:r>
          </w:p>
        </w:tc>
        <w:tc>
          <w:tcPr>
            <w:tcW w:w="6667" w:type="dxa"/>
            <w:tcBorders>
              <w:top w:val="single" w:sz="4" w:space="0" w:color="auto"/>
              <w:left w:val="nil"/>
              <w:bottom w:val="single" w:sz="4" w:space="0" w:color="auto"/>
              <w:right w:val="single" w:sz="4" w:space="0" w:color="auto"/>
            </w:tcBorders>
            <w:shd w:val="clear" w:color="auto" w:fill="auto"/>
            <w:vAlign w:val="center"/>
          </w:tcPr>
          <w:p w14:paraId="4D12BBB7" w14:textId="77777777" w:rsidR="00D37D86" w:rsidRPr="002B164B" w:rsidRDefault="00D37D86" w:rsidP="00FC0C44">
            <w:pPr>
              <w:widowControl/>
              <w:autoSpaceDE/>
              <w:autoSpaceDN/>
              <w:rPr>
                <w:sz w:val="20"/>
                <w:szCs w:val="20"/>
              </w:rPr>
            </w:pPr>
            <w:r w:rsidRPr="002B164B">
              <w:rPr>
                <w:rFonts w:eastAsia="Times New Roman"/>
                <w:b/>
                <w:bCs/>
                <w:sz w:val="20"/>
                <w:szCs w:val="20"/>
                <w:lang w:eastAsia="en-GB"/>
              </w:rPr>
              <w:t>OCC</w:t>
            </w:r>
            <w:r w:rsidRPr="002B164B">
              <w:rPr>
                <w:b/>
                <w:bCs/>
                <w:sz w:val="20"/>
                <w:szCs w:val="20"/>
              </w:rPr>
              <w:t>10.04:</w:t>
            </w:r>
            <w:r w:rsidRPr="002B164B">
              <w:rPr>
                <w:sz w:val="20"/>
                <w:szCs w:val="20"/>
              </w:rPr>
              <w:t xml:space="preserve"> Resolve customer </w:t>
            </w:r>
            <w:proofErr w:type="spellStart"/>
            <w:r w:rsidRPr="002B164B">
              <w:rPr>
                <w:sz w:val="20"/>
                <w:szCs w:val="20"/>
              </w:rPr>
              <w:t>enq</w:t>
            </w:r>
            <w:proofErr w:type="spellEnd"/>
            <w:r w:rsidRPr="002B164B">
              <w:rPr>
                <w:sz w:val="20"/>
                <w:szCs w:val="20"/>
              </w:rPr>
              <w:t xml:space="preserve"> received through the telephony channels at the first point of contact</w:t>
            </w:r>
          </w:p>
        </w:tc>
      </w:tr>
      <w:tr w:rsidR="00D37D86" w:rsidRPr="002B164B" w14:paraId="6007F695" w14:textId="77777777" w:rsidTr="00FC0C44">
        <w:trPr>
          <w:trHeight w:val="282"/>
        </w:trPr>
        <w:tc>
          <w:tcPr>
            <w:tcW w:w="1838" w:type="dxa"/>
            <w:tcBorders>
              <w:top w:val="single" w:sz="4" w:space="0" w:color="auto"/>
              <w:left w:val="single" w:sz="4" w:space="0" w:color="auto"/>
              <w:bottom w:val="single" w:sz="4" w:space="0" w:color="auto"/>
              <w:right w:val="single" w:sz="4" w:space="0" w:color="auto"/>
            </w:tcBorders>
            <w:shd w:val="clear" w:color="auto" w:fill="FFC000"/>
            <w:vAlign w:val="center"/>
          </w:tcPr>
          <w:p w14:paraId="51B9C740" w14:textId="77777777" w:rsidR="00D37D86" w:rsidRPr="002B164B" w:rsidRDefault="00D37D86" w:rsidP="00FC0C44">
            <w:pPr>
              <w:widowControl/>
              <w:autoSpaceDE/>
              <w:autoSpaceDN/>
              <w:rPr>
                <w:rFonts w:eastAsia="Times New Roman"/>
                <w:b/>
                <w:bCs/>
                <w:color w:val="000000"/>
                <w:sz w:val="20"/>
                <w:szCs w:val="20"/>
                <w:lang w:eastAsia="en-GB"/>
              </w:rPr>
            </w:pPr>
            <w:r w:rsidRPr="002B164B">
              <w:rPr>
                <w:rFonts w:eastAsia="Times New Roman"/>
                <w:b/>
                <w:bCs/>
                <w:color w:val="000000"/>
                <w:sz w:val="20"/>
                <w:szCs w:val="20"/>
                <w:lang w:eastAsia="en-GB"/>
              </w:rPr>
              <w:t xml:space="preserve">Green to Amber </w:t>
            </w:r>
          </w:p>
        </w:tc>
        <w:tc>
          <w:tcPr>
            <w:tcW w:w="6667" w:type="dxa"/>
            <w:tcBorders>
              <w:top w:val="single" w:sz="4" w:space="0" w:color="auto"/>
              <w:left w:val="nil"/>
              <w:bottom w:val="single" w:sz="4" w:space="0" w:color="auto"/>
              <w:right w:val="single" w:sz="4" w:space="0" w:color="auto"/>
            </w:tcBorders>
            <w:shd w:val="clear" w:color="auto" w:fill="auto"/>
            <w:vAlign w:val="center"/>
          </w:tcPr>
          <w:p w14:paraId="5F1DCA53" w14:textId="77777777" w:rsidR="00D37D86" w:rsidRPr="002B164B" w:rsidRDefault="00D37D86" w:rsidP="00FC0C44">
            <w:pPr>
              <w:widowControl/>
              <w:autoSpaceDE/>
              <w:autoSpaceDN/>
              <w:rPr>
                <w:b/>
                <w:bCs/>
                <w:sz w:val="20"/>
                <w:szCs w:val="20"/>
              </w:rPr>
            </w:pPr>
            <w:r w:rsidRPr="002B164B">
              <w:rPr>
                <w:rFonts w:eastAsia="Times New Roman"/>
                <w:b/>
                <w:bCs/>
                <w:sz w:val="20"/>
                <w:szCs w:val="20"/>
                <w:lang w:eastAsia="en-GB"/>
              </w:rPr>
              <w:t>OCC0</w:t>
            </w:r>
            <w:r w:rsidRPr="002B164B">
              <w:rPr>
                <w:b/>
                <w:bCs/>
                <w:sz w:val="20"/>
                <w:szCs w:val="20"/>
              </w:rPr>
              <w:t xml:space="preserve">3.14: </w:t>
            </w:r>
            <w:r w:rsidRPr="002B164B">
              <w:rPr>
                <w:sz w:val="20"/>
                <w:szCs w:val="20"/>
              </w:rPr>
              <w:t>No of physical visits to Heritage services</w:t>
            </w:r>
          </w:p>
          <w:p w14:paraId="14E7B775" w14:textId="77777777" w:rsidR="00D37D86" w:rsidRPr="002B164B" w:rsidRDefault="00D37D86" w:rsidP="00FC0C44">
            <w:pPr>
              <w:widowControl/>
              <w:autoSpaceDE/>
              <w:autoSpaceDN/>
              <w:rPr>
                <w:sz w:val="20"/>
                <w:szCs w:val="20"/>
              </w:rPr>
            </w:pPr>
            <w:r w:rsidRPr="002B164B">
              <w:rPr>
                <w:rFonts w:eastAsia="Times New Roman"/>
                <w:b/>
                <w:bCs/>
                <w:sz w:val="20"/>
                <w:szCs w:val="20"/>
                <w:lang w:eastAsia="en-GB"/>
              </w:rPr>
              <w:t>OCC0</w:t>
            </w:r>
            <w:r w:rsidRPr="002B164B">
              <w:rPr>
                <w:b/>
                <w:bCs/>
                <w:sz w:val="20"/>
                <w:szCs w:val="20"/>
              </w:rPr>
              <w:t>4.03:</w:t>
            </w:r>
            <w:r w:rsidRPr="002B164B">
              <w:rPr>
                <w:sz w:val="20"/>
                <w:szCs w:val="20"/>
              </w:rPr>
              <w:t xml:space="preserve"> % of residents aged 65 plus receiving ASC who manage their care by using a direct payment</w:t>
            </w:r>
          </w:p>
          <w:p w14:paraId="1875CD29" w14:textId="77777777" w:rsidR="00D37D86" w:rsidRPr="002B164B" w:rsidRDefault="00D37D86" w:rsidP="00FC0C44">
            <w:pPr>
              <w:widowControl/>
              <w:autoSpaceDE/>
              <w:autoSpaceDN/>
              <w:rPr>
                <w:sz w:val="20"/>
                <w:szCs w:val="20"/>
              </w:rPr>
            </w:pPr>
            <w:r w:rsidRPr="002B164B">
              <w:rPr>
                <w:rFonts w:eastAsia="Times New Roman"/>
                <w:b/>
                <w:bCs/>
                <w:sz w:val="20"/>
                <w:szCs w:val="20"/>
                <w:lang w:eastAsia="en-GB"/>
              </w:rPr>
              <w:lastRenderedPageBreak/>
              <w:t>OCC0</w:t>
            </w:r>
            <w:r w:rsidRPr="002B164B">
              <w:rPr>
                <w:b/>
                <w:bCs/>
                <w:sz w:val="20"/>
                <w:szCs w:val="20"/>
              </w:rPr>
              <w:t>9.05:</w:t>
            </w:r>
            <w:r w:rsidRPr="002B164B">
              <w:rPr>
                <w:sz w:val="20"/>
                <w:szCs w:val="20"/>
              </w:rPr>
              <w:t xml:space="preserve"> No of new Community Micro Enterprises supporting people in the community</w:t>
            </w:r>
          </w:p>
          <w:p w14:paraId="7A4C6692" w14:textId="77777777" w:rsidR="00D37D86" w:rsidRPr="002B164B" w:rsidRDefault="00D37D86" w:rsidP="00FC0C44">
            <w:pPr>
              <w:widowControl/>
              <w:autoSpaceDE/>
              <w:autoSpaceDN/>
              <w:rPr>
                <w:b/>
                <w:bCs/>
                <w:sz w:val="20"/>
                <w:szCs w:val="20"/>
              </w:rPr>
            </w:pPr>
            <w:r w:rsidRPr="002B164B">
              <w:rPr>
                <w:rFonts w:eastAsia="Times New Roman"/>
                <w:b/>
                <w:bCs/>
                <w:sz w:val="20"/>
                <w:szCs w:val="20"/>
                <w:lang w:eastAsia="en-GB"/>
              </w:rPr>
              <w:t>OCC</w:t>
            </w:r>
            <w:r w:rsidRPr="002B164B">
              <w:rPr>
                <w:b/>
                <w:bCs/>
                <w:sz w:val="20"/>
                <w:szCs w:val="20"/>
              </w:rPr>
              <w:t>11.12:</w:t>
            </w:r>
            <w:r w:rsidRPr="002B164B">
              <w:t xml:space="preserve"> </w:t>
            </w:r>
            <w:r w:rsidRPr="002B164B">
              <w:rPr>
                <w:sz w:val="20"/>
                <w:szCs w:val="20"/>
              </w:rPr>
              <w:t>Average cash balance compared to forecast average cash balance</w:t>
            </w:r>
          </w:p>
        </w:tc>
      </w:tr>
      <w:tr w:rsidR="00D37D86" w:rsidRPr="002B164B" w14:paraId="32D47593" w14:textId="77777777" w:rsidTr="00FC0C44">
        <w:trPr>
          <w:trHeight w:val="282"/>
        </w:trPr>
        <w:tc>
          <w:tcPr>
            <w:tcW w:w="1838" w:type="dxa"/>
            <w:tcBorders>
              <w:top w:val="single" w:sz="4" w:space="0" w:color="auto"/>
              <w:left w:val="single" w:sz="4" w:space="0" w:color="auto"/>
              <w:bottom w:val="single" w:sz="4" w:space="0" w:color="auto"/>
              <w:right w:val="single" w:sz="4" w:space="0" w:color="auto"/>
            </w:tcBorders>
            <w:shd w:val="clear" w:color="auto" w:fill="FF0000"/>
            <w:vAlign w:val="center"/>
          </w:tcPr>
          <w:p w14:paraId="2C8BA299" w14:textId="77777777" w:rsidR="00D37D86" w:rsidRPr="002B164B" w:rsidRDefault="00D37D86" w:rsidP="00FC0C44">
            <w:pPr>
              <w:widowControl/>
              <w:autoSpaceDE/>
              <w:autoSpaceDN/>
              <w:rPr>
                <w:rFonts w:eastAsia="Times New Roman"/>
                <w:b/>
                <w:bCs/>
                <w:color w:val="000000"/>
                <w:sz w:val="20"/>
                <w:szCs w:val="20"/>
                <w:lang w:eastAsia="en-GB"/>
              </w:rPr>
            </w:pPr>
            <w:r>
              <w:rPr>
                <w:rFonts w:eastAsia="Times New Roman"/>
                <w:b/>
                <w:bCs/>
                <w:color w:val="000000"/>
                <w:sz w:val="20"/>
                <w:szCs w:val="20"/>
                <w:lang w:eastAsia="en-GB"/>
              </w:rPr>
              <w:lastRenderedPageBreak/>
              <w:t>Green to Red</w:t>
            </w:r>
          </w:p>
        </w:tc>
        <w:tc>
          <w:tcPr>
            <w:tcW w:w="6667" w:type="dxa"/>
            <w:tcBorders>
              <w:top w:val="single" w:sz="4" w:space="0" w:color="auto"/>
              <w:left w:val="nil"/>
              <w:bottom w:val="single" w:sz="4" w:space="0" w:color="auto"/>
              <w:right w:val="single" w:sz="4" w:space="0" w:color="auto"/>
            </w:tcBorders>
            <w:shd w:val="clear" w:color="auto" w:fill="auto"/>
            <w:vAlign w:val="center"/>
          </w:tcPr>
          <w:p w14:paraId="03E993B7" w14:textId="77777777" w:rsidR="00D37D86" w:rsidRPr="002B164B" w:rsidRDefault="00D37D86" w:rsidP="00FC0C44">
            <w:pPr>
              <w:widowControl/>
              <w:autoSpaceDE/>
              <w:autoSpaceDN/>
              <w:rPr>
                <w:rFonts w:eastAsia="Times New Roman"/>
                <w:b/>
                <w:bCs/>
                <w:sz w:val="20"/>
                <w:szCs w:val="20"/>
                <w:lang w:eastAsia="en-GB"/>
              </w:rPr>
            </w:pPr>
            <w:r>
              <w:rPr>
                <w:b/>
                <w:bCs/>
                <w:sz w:val="20"/>
                <w:szCs w:val="20"/>
                <w:lang w:eastAsia="en-GB"/>
              </w:rPr>
              <w:t xml:space="preserve">OCC11.06 </w:t>
            </w:r>
            <w:r w:rsidRPr="00285619">
              <w:rPr>
                <w:sz w:val="20"/>
                <w:szCs w:val="20"/>
              </w:rPr>
              <w:t xml:space="preserve"> Total outturn variation for the dedicated schools grant funded services</w:t>
            </w:r>
          </w:p>
        </w:tc>
      </w:tr>
    </w:tbl>
    <w:p w14:paraId="1BAF54AF" w14:textId="77777777" w:rsidR="00D37D86" w:rsidRPr="002B164B" w:rsidRDefault="00D37D86" w:rsidP="00D37D86">
      <w:pPr>
        <w:tabs>
          <w:tab w:val="center" w:pos="3155"/>
        </w:tabs>
        <w:ind w:left="426"/>
        <w:rPr>
          <w:sz w:val="16"/>
          <w:szCs w:val="16"/>
        </w:rPr>
      </w:pPr>
      <w:r w:rsidRPr="002B164B">
        <w:rPr>
          <w:b/>
          <w:bCs/>
          <w:sz w:val="16"/>
          <w:szCs w:val="16"/>
        </w:rPr>
        <w:t xml:space="preserve">Figure 3 </w:t>
      </w:r>
      <w:r w:rsidRPr="002B164B">
        <w:rPr>
          <w:sz w:val="16"/>
          <w:szCs w:val="16"/>
        </w:rPr>
        <w:t>– changes since the last reporting period</w:t>
      </w:r>
    </w:p>
    <w:p w14:paraId="30506D9B" w14:textId="77777777" w:rsidR="00D37D86" w:rsidRPr="002B164B" w:rsidRDefault="00D37D86" w:rsidP="00D37D86">
      <w:pPr>
        <w:pStyle w:val="BodyText"/>
        <w:spacing w:before="10"/>
        <w:ind w:left="426"/>
      </w:pPr>
    </w:p>
    <w:p w14:paraId="18899759" w14:textId="77777777" w:rsidR="00D37D86" w:rsidRPr="00DD5E17" w:rsidRDefault="00D37D86" w:rsidP="00D37D86">
      <w:pPr>
        <w:pStyle w:val="ListParagraph"/>
        <w:widowControl/>
        <w:numPr>
          <w:ilvl w:val="0"/>
          <w:numId w:val="37"/>
        </w:numPr>
        <w:autoSpaceDE/>
        <w:autoSpaceDN/>
        <w:rPr>
          <w:rFonts w:eastAsia="Times New Roman"/>
          <w:sz w:val="24"/>
          <w:szCs w:val="24"/>
        </w:rPr>
      </w:pPr>
      <w:r w:rsidRPr="002B164B">
        <w:rPr>
          <w:rFonts w:eastAsia="Times New Roman"/>
          <w:sz w:val="24"/>
          <w:szCs w:val="24"/>
        </w:rPr>
        <w:t xml:space="preserve">The number of measures reported will fluctuate throughout the year as the reporting frequency is measure specific, monthly, quarterly, termly, bimonthly and annually as detailed in the </w:t>
      </w:r>
      <w:proofErr w:type="gramStart"/>
      <w:r w:rsidRPr="002B164B">
        <w:rPr>
          <w:rFonts w:eastAsia="Times New Roman"/>
          <w:sz w:val="24"/>
          <w:szCs w:val="24"/>
        </w:rPr>
        <w:t>outcomes</w:t>
      </w:r>
      <w:proofErr w:type="gramEnd"/>
      <w:r w:rsidRPr="002B164B">
        <w:rPr>
          <w:rFonts w:eastAsia="Times New Roman"/>
          <w:sz w:val="24"/>
          <w:szCs w:val="24"/>
        </w:rPr>
        <w:t xml:space="preserve"> framework. </w:t>
      </w:r>
      <w:r w:rsidRPr="008817D4">
        <w:rPr>
          <w:rFonts w:eastAsia="Times New Roman"/>
          <w:sz w:val="24"/>
          <w:szCs w:val="24"/>
        </w:rPr>
        <w:t>During</w:t>
      </w:r>
      <w:r>
        <w:rPr>
          <w:rFonts w:eastAsia="Times New Roman"/>
          <w:sz w:val="24"/>
          <w:szCs w:val="24"/>
        </w:rPr>
        <w:t xml:space="preserve"> July</w:t>
      </w:r>
      <w:r w:rsidRPr="008817D4">
        <w:rPr>
          <w:rFonts w:eastAsia="Times New Roman"/>
          <w:sz w:val="24"/>
          <w:szCs w:val="24"/>
        </w:rPr>
        <w:t xml:space="preserve">, </w:t>
      </w:r>
      <w:r>
        <w:rPr>
          <w:rFonts w:eastAsia="Times New Roman"/>
          <w:sz w:val="24"/>
          <w:szCs w:val="24"/>
        </w:rPr>
        <w:t>almost half (44.2%) of the measures were reported as green outcomes (</w:t>
      </w:r>
      <w:r w:rsidRPr="00D71367">
        <w:rPr>
          <w:rFonts w:eastAsia="Times New Roman"/>
          <w:i/>
          <w:iCs/>
          <w:sz w:val="24"/>
          <w:szCs w:val="24"/>
        </w:rPr>
        <w:t>meeting or exceeding targ</w:t>
      </w:r>
      <w:r>
        <w:rPr>
          <w:rFonts w:eastAsia="Times New Roman"/>
          <w:i/>
          <w:iCs/>
          <w:sz w:val="24"/>
          <w:szCs w:val="24"/>
        </w:rPr>
        <w:t>et</w:t>
      </w:r>
      <w:r>
        <w:rPr>
          <w:rFonts w:eastAsia="Times New Roman"/>
          <w:sz w:val="24"/>
          <w:szCs w:val="24"/>
        </w:rPr>
        <w:t>). Fourteen (26.9%) were rated as Amber (</w:t>
      </w:r>
      <w:r w:rsidRPr="00D71367">
        <w:rPr>
          <w:rFonts w:eastAsia="Times New Roman"/>
          <w:i/>
          <w:iCs/>
          <w:sz w:val="24"/>
          <w:szCs w:val="24"/>
        </w:rPr>
        <w:t>misses target by narrow margin)</w:t>
      </w:r>
      <w:r>
        <w:rPr>
          <w:rFonts w:eastAsia="Times New Roman"/>
          <w:i/>
          <w:iCs/>
          <w:sz w:val="24"/>
          <w:szCs w:val="24"/>
        </w:rPr>
        <w:t xml:space="preserve">, </w:t>
      </w:r>
      <w:r w:rsidRPr="00D71367">
        <w:rPr>
          <w:rFonts w:eastAsia="Times New Roman"/>
          <w:sz w:val="24"/>
          <w:szCs w:val="24"/>
        </w:rPr>
        <w:t>of which nine have been amber for 2+ months</w:t>
      </w:r>
      <w:r>
        <w:rPr>
          <w:rFonts w:eastAsia="Times New Roman"/>
          <w:i/>
          <w:iCs/>
          <w:sz w:val="24"/>
          <w:szCs w:val="24"/>
        </w:rPr>
        <w:t>.</w:t>
      </w:r>
      <w:r>
        <w:rPr>
          <w:rFonts w:eastAsia="Times New Roman"/>
          <w:sz w:val="24"/>
          <w:szCs w:val="24"/>
        </w:rPr>
        <w:t xml:space="preserve"> Eight (15.3%) measures were rated red (</w:t>
      </w:r>
      <w:r w:rsidRPr="00D71367">
        <w:rPr>
          <w:rFonts w:eastAsia="Times New Roman"/>
          <w:i/>
          <w:iCs/>
          <w:sz w:val="24"/>
          <w:szCs w:val="24"/>
        </w:rPr>
        <w:t>misses target by significant margin</w:t>
      </w:r>
      <w:r>
        <w:rPr>
          <w:rFonts w:eastAsia="Times New Roman"/>
          <w:sz w:val="24"/>
          <w:szCs w:val="24"/>
        </w:rPr>
        <w:t>).</w:t>
      </w:r>
    </w:p>
    <w:p w14:paraId="717FE21C" w14:textId="77777777" w:rsidR="00D37D86" w:rsidRPr="002B164B" w:rsidRDefault="00D37D86" w:rsidP="00D37D86">
      <w:pPr>
        <w:pStyle w:val="ListParagraph"/>
        <w:widowControl/>
        <w:autoSpaceDE/>
        <w:autoSpaceDN/>
        <w:ind w:left="720" w:firstLine="0"/>
        <w:rPr>
          <w:rFonts w:eastAsia="Times New Roman"/>
          <w:sz w:val="24"/>
          <w:szCs w:val="24"/>
        </w:rPr>
      </w:pPr>
    </w:p>
    <w:p w14:paraId="52122F87" w14:textId="77777777" w:rsidR="00D37D86" w:rsidRPr="002B164B" w:rsidRDefault="00D37D86" w:rsidP="00D37D86">
      <w:pPr>
        <w:pStyle w:val="ListParagraph"/>
        <w:widowControl/>
        <w:numPr>
          <w:ilvl w:val="0"/>
          <w:numId w:val="37"/>
        </w:numPr>
        <w:autoSpaceDE/>
        <w:autoSpaceDN/>
        <w:rPr>
          <w:rFonts w:eastAsia="Times New Roman"/>
          <w:sz w:val="24"/>
          <w:szCs w:val="24"/>
        </w:rPr>
      </w:pPr>
      <w:r w:rsidRPr="002B164B">
        <w:rPr>
          <w:rFonts w:eastAsia="Times New Roman"/>
          <w:sz w:val="24"/>
          <w:szCs w:val="24"/>
        </w:rPr>
        <w:t>Financial (year to date) tracking of RAG monthly measures (not including monitoring only and data to be updated):</w:t>
      </w:r>
    </w:p>
    <w:p w14:paraId="1EB6227D" w14:textId="77777777" w:rsidR="00D37D86" w:rsidRPr="002B164B" w:rsidRDefault="00D37D86" w:rsidP="00D37D86">
      <w:pPr>
        <w:ind w:left="-426" w:firstLine="142"/>
        <w:jc w:val="center"/>
      </w:pPr>
    </w:p>
    <w:tbl>
      <w:tblPr>
        <w:tblW w:w="8226" w:type="dxa"/>
        <w:jc w:val="center"/>
        <w:tblLook w:val="04A0" w:firstRow="1" w:lastRow="0" w:firstColumn="1" w:lastColumn="0" w:noHBand="0" w:noVBand="1"/>
      </w:tblPr>
      <w:tblGrid>
        <w:gridCol w:w="816"/>
        <w:gridCol w:w="2268"/>
        <w:gridCol w:w="2268"/>
        <w:gridCol w:w="1843"/>
        <w:gridCol w:w="1031"/>
      </w:tblGrid>
      <w:tr w:rsidR="00D37D86" w:rsidRPr="002B164B" w14:paraId="5E988232" w14:textId="77777777" w:rsidTr="00FC0C44">
        <w:trPr>
          <w:trHeight w:val="360"/>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5E416" w14:textId="77777777" w:rsidR="00D37D86" w:rsidRPr="002B164B" w:rsidRDefault="00D37D86" w:rsidP="00FC0C44">
            <w:pPr>
              <w:widowControl/>
              <w:autoSpaceDE/>
              <w:autoSpaceDN/>
              <w:jc w:val="center"/>
              <w:rPr>
                <w:rFonts w:eastAsia="Times New Roman"/>
                <w:b/>
                <w:bCs/>
                <w:color w:val="000000"/>
                <w:sz w:val="20"/>
                <w:szCs w:val="20"/>
                <w:lang w:eastAsia="en-GB"/>
              </w:rPr>
            </w:pPr>
            <w:r w:rsidRPr="002B164B">
              <w:rPr>
                <w:rFonts w:eastAsia="Times New Roman"/>
                <w:b/>
                <w:bCs/>
                <w:color w:val="000000"/>
                <w:sz w:val="20"/>
                <w:szCs w:val="20"/>
                <w:lang w:eastAsia="en-GB"/>
              </w:rPr>
              <w:t>Month</w:t>
            </w:r>
          </w:p>
        </w:tc>
        <w:tc>
          <w:tcPr>
            <w:tcW w:w="2268" w:type="dxa"/>
            <w:tcBorders>
              <w:top w:val="single" w:sz="4" w:space="0" w:color="auto"/>
              <w:left w:val="nil"/>
              <w:bottom w:val="single" w:sz="4" w:space="0" w:color="auto"/>
              <w:right w:val="single" w:sz="4" w:space="0" w:color="auto"/>
            </w:tcBorders>
            <w:shd w:val="clear" w:color="000000" w:fill="92D050"/>
            <w:noWrap/>
            <w:vAlign w:val="bottom"/>
            <w:hideMark/>
          </w:tcPr>
          <w:p w14:paraId="161BEF32" w14:textId="77777777" w:rsidR="00D37D86" w:rsidRPr="002B164B" w:rsidRDefault="00D37D86" w:rsidP="00FC0C44">
            <w:pPr>
              <w:widowControl/>
              <w:autoSpaceDE/>
              <w:autoSpaceDN/>
              <w:jc w:val="center"/>
              <w:rPr>
                <w:rFonts w:eastAsia="Times New Roman"/>
                <w:b/>
                <w:bCs/>
                <w:color w:val="000000"/>
                <w:sz w:val="20"/>
                <w:szCs w:val="20"/>
                <w:lang w:eastAsia="en-GB"/>
              </w:rPr>
            </w:pPr>
            <w:r w:rsidRPr="002B164B">
              <w:rPr>
                <w:rFonts w:eastAsia="Times New Roman"/>
                <w:b/>
                <w:bCs/>
                <w:color w:val="000000"/>
                <w:sz w:val="20"/>
                <w:szCs w:val="20"/>
                <w:lang w:eastAsia="en-GB"/>
              </w:rPr>
              <w:t>Green</w:t>
            </w:r>
          </w:p>
        </w:tc>
        <w:tc>
          <w:tcPr>
            <w:tcW w:w="2268" w:type="dxa"/>
            <w:tcBorders>
              <w:top w:val="single" w:sz="4" w:space="0" w:color="auto"/>
              <w:left w:val="nil"/>
              <w:bottom w:val="single" w:sz="4" w:space="0" w:color="auto"/>
              <w:right w:val="single" w:sz="4" w:space="0" w:color="auto"/>
            </w:tcBorders>
            <w:shd w:val="clear" w:color="000000" w:fill="FFC000"/>
            <w:noWrap/>
            <w:vAlign w:val="bottom"/>
            <w:hideMark/>
          </w:tcPr>
          <w:p w14:paraId="48B4046A" w14:textId="77777777" w:rsidR="00D37D86" w:rsidRPr="002B164B" w:rsidRDefault="00D37D86" w:rsidP="00FC0C44">
            <w:pPr>
              <w:widowControl/>
              <w:autoSpaceDE/>
              <w:autoSpaceDN/>
              <w:jc w:val="center"/>
              <w:rPr>
                <w:rFonts w:eastAsia="Times New Roman"/>
                <w:b/>
                <w:bCs/>
                <w:color w:val="000000"/>
                <w:sz w:val="20"/>
                <w:szCs w:val="20"/>
                <w:lang w:eastAsia="en-GB"/>
              </w:rPr>
            </w:pPr>
            <w:r w:rsidRPr="002B164B">
              <w:rPr>
                <w:rFonts w:eastAsia="Times New Roman"/>
                <w:b/>
                <w:bCs/>
                <w:color w:val="000000"/>
                <w:sz w:val="20"/>
                <w:szCs w:val="20"/>
                <w:lang w:eastAsia="en-GB"/>
              </w:rPr>
              <w:t>Amber</w:t>
            </w:r>
          </w:p>
        </w:tc>
        <w:tc>
          <w:tcPr>
            <w:tcW w:w="1843" w:type="dxa"/>
            <w:tcBorders>
              <w:top w:val="single" w:sz="4" w:space="0" w:color="auto"/>
              <w:left w:val="nil"/>
              <w:bottom w:val="single" w:sz="4" w:space="0" w:color="auto"/>
              <w:right w:val="single" w:sz="4" w:space="0" w:color="auto"/>
            </w:tcBorders>
            <w:shd w:val="clear" w:color="000000" w:fill="FF0000"/>
            <w:noWrap/>
            <w:vAlign w:val="bottom"/>
            <w:hideMark/>
          </w:tcPr>
          <w:p w14:paraId="3D1A39A3" w14:textId="77777777" w:rsidR="00D37D86" w:rsidRPr="002B164B" w:rsidRDefault="00D37D86" w:rsidP="00FC0C44">
            <w:pPr>
              <w:widowControl/>
              <w:autoSpaceDE/>
              <w:autoSpaceDN/>
              <w:jc w:val="center"/>
              <w:rPr>
                <w:rFonts w:eastAsia="Times New Roman"/>
                <w:b/>
                <w:bCs/>
                <w:color w:val="000000"/>
                <w:sz w:val="20"/>
                <w:szCs w:val="20"/>
                <w:lang w:eastAsia="en-GB"/>
              </w:rPr>
            </w:pPr>
            <w:r w:rsidRPr="002B164B">
              <w:rPr>
                <w:rFonts w:eastAsia="Times New Roman"/>
                <w:b/>
                <w:bCs/>
                <w:color w:val="000000"/>
                <w:sz w:val="20"/>
                <w:szCs w:val="20"/>
                <w:lang w:eastAsia="en-GB"/>
              </w:rPr>
              <w:t>Red</w:t>
            </w:r>
          </w:p>
        </w:tc>
        <w:tc>
          <w:tcPr>
            <w:tcW w:w="1031" w:type="dxa"/>
            <w:tcBorders>
              <w:top w:val="single" w:sz="4" w:space="0" w:color="auto"/>
              <w:left w:val="nil"/>
              <w:bottom w:val="single" w:sz="4" w:space="0" w:color="auto"/>
              <w:right w:val="single" w:sz="4" w:space="0" w:color="auto"/>
            </w:tcBorders>
            <w:shd w:val="clear" w:color="auto" w:fill="FFFFFF" w:themeFill="background1"/>
          </w:tcPr>
          <w:p w14:paraId="322207F8" w14:textId="77777777" w:rsidR="00D37D86" w:rsidRPr="002B164B" w:rsidRDefault="00D37D86" w:rsidP="00FC0C44">
            <w:pPr>
              <w:widowControl/>
              <w:autoSpaceDE/>
              <w:autoSpaceDN/>
              <w:jc w:val="center"/>
              <w:rPr>
                <w:rFonts w:eastAsia="Times New Roman"/>
                <w:b/>
                <w:bCs/>
                <w:sz w:val="20"/>
                <w:szCs w:val="20"/>
                <w:lang w:eastAsia="en-GB"/>
              </w:rPr>
            </w:pPr>
            <w:r w:rsidRPr="002B164B">
              <w:rPr>
                <w:rFonts w:eastAsia="Times New Roman"/>
                <w:b/>
                <w:bCs/>
                <w:sz w:val="20"/>
                <w:szCs w:val="20"/>
                <w:lang w:eastAsia="en-GB"/>
              </w:rPr>
              <w:t>Total</w:t>
            </w:r>
          </w:p>
        </w:tc>
      </w:tr>
      <w:tr w:rsidR="00D37D86" w:rsidRPr="0042435F" w14:paraId="573E9354" w14:textId="77777777" w:rsidTr="00FC0C44">
        <w:trPr>
          <w:trHeight w:val="315"/>
          <w:jc w:val="center"/>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14:paraId="1BC78E7C" w14:textId="77777777" w:rsidR="00D37D86" w:rsidRPr="00206A4D" w:rsidRDefault="00D37D86" w:rsidP="00FC0C44">
            <w:pPr>
              <w:widowControl/>
              <w:autoSpaceDE/>
              <w:autoSpaceDN/>
              <w:rPr>
                <w:rFonts w:eastAsia="Times New Roman"/>
                <w:color w:val="000000"/>
                <w:sz w:val="20"/>
                <w:szCs w:val="20"/>
                <w:lang w:eastAsia="en-GB"/>
              </w:rPr>
            </w:pPr>
            <w:r w:rsidRPr="00206A4D">
              <w:rPr>
                <w:rFonts w:eastAsia="Times New Roman"/>
                <w:color w:val="000000"/>
                <w:sz w:val="20"/>
                <w:szCs w:val="20"/>
                <w:lang w:eastAsia="en-GB"/>
              </w:rPr>
              <w:t>April</w:t>
            </w:r>
          </w:p>
        </w:tc>
        <w:tc>
          <w:tcPr>
            <w:tcW w:w="2268" w:type="dxa"/>
            <w:tcBorders>
              <w:top w:val="nil"/>
              <w:left w:val="nil"/>
              <w:bottom w:val="single" w:sz="4" w:space="0" w:color="auto"/>
              <w:right w:val="single" w:sz="4" w:space="0" w:color="auto"/>
            </w:tcBorders>
            <w:shd w:val="clear" w:color="auto" w:fill="auto"/>
            <w:noWrap/>
            <w:vAlign w:val="bottom"/>
          </w:tcPr>
          <w:p w14:paraId="51B1E81D" w14:textId="77777777" w:rsidR="00D37D86" w:rsidRPr="00206A4D" w:rsidRDefault="00D37D86" w:rsidP="00FC0C44">
            <w:pPr>
              <w:widowControl/>
              <w:autoSpaceDE/>
              <w:autoSpaceDN/>
              <w:jc w:val="center"/>
              <w:rPr>
                <w:rFonts w:eastAsia="Times New Roman"/>
                <w:color w:val="000000"/>
                <w:sz w:val="20"/>
                <w:szCs w:val="20"/>
                <w:lang w:eastAsia="en-GB"/>
              </w:rPr>
            </w:pPr>
            <w:r>
              <w:rPr>
                <w:rFonts w:eastAsia="Times New Roman"/>
                <w:color w:val="000000"/>
                <w:sz w:val="20"/>
                <w:szCs w:val="20"/>
                <w:lang w:eastAsia="en-GB"/>
              </w:rPr>
              <w:t>22</w:t>
            </w:r>
          </w:p>
        </w:tc>
        <w:tc>
          <w:tcPr>
            <w:tcW w:w="2268" w:type="dxa"/>
            <w:tcBorders>
              <w:top w:val="nil"/>
              <w:left w:val="nil"/>
              <w:bottom w:val="single" w:sz="4" w:space="0" w:color="auto"/>
              <w:right w:val="single" w:sz="4" w:space="0" w:color="auto"/>
            </w:tcBorders>
            <w:shd w:val="clear" w:color="auto" w:fill="auto"/>
            <w:noWrap/>
            <w:vAlign w:val="bottom"/>
          </w:tcPr>
          <w:p w14:paraId="31227BCD" w14:textId="77777777" w:rsidR="00D37D86" w:rsidRPr="00206A4D" w:rsidRDefault="00D37D86" w:rsidP="00FC0C44">
            <w:pPr>
              <w:widowControl/>
              <w:autoSpaceDE/>
              <w:autoSpaceDN/>
              <w:jc w:val="center"/>
              <w:rPr>
                <w:rFonts w:eastAsia="Times New Roman"/>
                <w:color w:val="000000"/>
                <w:sz w:val="20"/>
                <w:szCs w:val="20"/>
                <w:lang w:eastAsia="en-GB"/>
              </w:rPr>
            </w:pPr>
            <w:r>
              <w:rPr>
                <w:rFonts w:eastAsia="Times New Roman"/>
                <w:color w:val="000000"/>
                <w:sz w:val="20"/>
                <w:szCs w:val="20"/>
                <w:lang w:eastAsia="en-GB"/>
              </w:rPr>
              <w:t>6</w:t>
            </w:r>
          </w:p>
        </w:tc>
        <w:tc>
          <w:tcPr>
            <w:tcW w:w="1843" w:type="dxa"/>
            <w:tcBorders>
              <w:top w:val="nil"/>
              <w:left w:val="nil"/>
              <w:bottom w:val="single" w:sz="4" w:space="0" w:color="auto"/>
              <w:right w:val="single" w:sz="4" w:space="0" w:color="auto"/>
            </w:tcBorders>
            <w:shd w:val="clear" w:color="auto" w:fill="auto"/>
            <w:noWrap/>
            <w:vAlign w:val="bottom"/>
          </w:tcPr>
          <w:p w14:paraId="12F42418" w14:textId="77777777" w:rsidR="00D37D86" w:rsidRPr="00206A4D" w:rsidRDefault="00D37D86" w:rsidP="00FC0C44">
            <w:pPr>
              <w:widowControl/>
              <w:autoSpaceDE/>
              <w:autoSpaceDN/>
              <w:jc w:val="center"/>
              <w:rPr>
                <w:rFonts w:eastAsia="Times New Roman"/>
                <w:color w:val="000000"/>
                <w:sz w:val="20"/>
                <w:szCs w:val="20"/>
                <w:lang w:eastAsia="en-GB"/>
              </w:rPr>
            </w:pPr>
            <w:r>
              <w:rPr>
                <w:rFonts w:eastAsia="Times New Roman"/>
                <w:color w:val="000000"/>
                <w:sz w:val="20"/>
                <w:szCs w:val="20"/>
                <w:lang w:eastAsia="en-GB"/>
              </w:rPr>
              <w:t>6</w:t>
            </w:r>
          </w:p>
        </w:tc>
        <w:tc>
          <w:tcPr>
            <w:tcW w:w="1031" w:type="dxa"/>
            <w:tcBorders>
              <w:top w:val="nil"/>
              <w:left w:val="nil"/>
              <w:bottom w:val="single" w:sz="4" w:space="0" w:color="auto"/>
              <w:right w:val="single" w:sz="4" w:space="0" w:color="auto"/>
            </w:tcBorders>
          </w:tcPr>
          <w:p w14:paraId="3B195E2C" w14:textId="77777777" w:rsidR="00D37D86" w:rsidRPr="0042435F" w:rsidRDefault="00D37D86" w:rsidP="00FC0C44">
            <w:pPr>
              <w:widowControl/>
              <w:autoSpaceDE/>
              <w:autoSpaceDN/>
              <w:jc w:val="center"/>
              <w:rPr>
                <w:rFonts w:eastAsia="Times New Roman"/>
                <w:b/>
                <w:bCs/>
                <w:color w:val="000000"/>
                <w:sz w:val="20"/>
                <w:szCs w:val="20"/>
                <w:lang w:eastAsia="en-GB"/>
              </w:rPr>
            </w:pPr>
            <w:r>
              <w:rPr>
                <w:rFonts w:eastAsia="Times New Roman"/>
                <w:b/>
                <w:bCs/>
                <w:color w:val="000000"/>
                <w:sz w:val="20"/>
                <w:szCs w:val="20"/>
                <w:lang w:eastAsia="en-GB"/>
              </w:rPr>
              <w:t>34</w:t>
            </w:r>
          </w:p>
        </w:tc>
      </w:tr>
      <w:tr w:rsidR="00D37D86" w:rsidRPr="0042435F" w14:paraId="380D4296" w14:textId="77777777" w:rsidTr="00FC0C44">
        <w:trPr>
          <w:trHeight w:val="300"/>
          <w:jc w:val="center"/>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14:paraId="16A6D316" w14:textId="77777777" w:rsidR="00D37D86" w:rsidRPr="00206A4D" w:rsidRDefault="00D37D86" w:rsidP="00FC0C44">
            <w:pPr>
              <w:widowControl/>
              <w:autoSpaceDE/>
              <w:autoSpaceDN/>
              <w:rPr>
                <w:rFonts w:eastAsia="Times New Roman"/>
                <w:color w:val="000000"/>
                <w:sz w:val="20"/>
                <w:szCs w:val="20"/>
                <w:lang w:eastAsia="en-GB"/>
              </w:rPr>
            </w:pPr>
            <w:r w:rsidRPr="00206A4D">
              <w:rPr>
                <w:rFonts w:eastAsia="Times New Roman"/>
                <w:color w:val="000000"/>
                <w:sz w:val="20"/>
                <w:szCs w:val="20"/>
                <w:lang w:eastAsia="en-GB"/>
              </w:rPr>
              <w:t>May</w:t>
            </w:r>
          </w:p>
        </w:tc>
        <w:tc>
          <w:tcPr>
            <w:tcW w:w="2268" w:type="dxa"/>
            <w:tcBorders>
              <w:top w:val="nil"/>
              <w:left w:val="nil"/>
              <w:bottom w:val="single" w:sz="4" w:space="0" w:color="auto"/>
              <w:right w:val="single" w:sz="4" w:space="0" w:color="auto"/>
            </w:tcBorders>
            <w:shd w:val="clear" w:color="auto" w:fill="auto"/>
            <w:noWrap/>
            <w:vAlign w:val="bottom"/>
          </w:tcPr>
          <w:p w14:paraId="18FCB71B" w14:textId="77777777" w:rsidR="00D37D86" w:rsidRPr="00206A4D" w:rsidRDefault="00D37D86" w:rsidP="00FC0C44">
            <w:pPr>
              <w:widowControl/>
              <w:autoSpaceDE/>
              <w:autoSpaceDN/>
              <w:jc w:val="center"/>
              <w:rPr>
                <w:rFonts w:eastAsia="Times New Roman"/>
                <w:color w:val="000000"/>
                <w:sz w:val="20"/>
                <w:szCs w:val="20"/>
                <w:lang w:eastAsia="en-GB"/>
              </w:rPr>
            </w:pPr>
            <w:r>
              <w:rPr>
                <w:rFonts w:eastAsia="Times New Roman"/>
                <w:color w:val="000000"/>
                <w:sz w:val="20"/>
                <w:szCs w:val="20"/>
                <w:lang w:eastAsia="en-GB"/>
              </w:rPr>
              <w:t>29</w:t>
            </w:r>
          </w:p>
        </w:tc>
        <w:tc>
          <w:tcPr>
            <w:tcW w:w="2268" w:type="dxa"/>
            <w:tcBorders>
              <w:top w:val="nil"/>
              <w:left w:val="nil"/>
              <w:bottom w:val="single" w:sz="4" w:space="0" w:color="auto"/>
              <w:right w:val="single" w:sz="4" w:space="0" w:color="auto"/>
            </w:tcBorders>
            <w:shd w:val="clear" w:color="auto" w:fill="auto"/>
            <w:noWrap/>
            <w:vAlign w:val="bottom"/>
          </w:tcPr>
          <w:p w14:paraId="32093E8E" w14:textId="77777777" w:rsidR="00D37D86" w:rsidRPr="00206A4D" w:rsidRDefault="00D37D86" w:rsidP="00FC0C44">
            <w:pPr>
              <w:widowControl/>
              <w:autoSpaceDE/>
              <w:autoSpaceDN/>
              <w:jc w:val="center"/>
              <w:rPr>
                <w:rFonts w:eastAsia="Times New Roman"/>
                <w:color w:val="000000"/>
                <w:sz w:val="20"/>
                <w:szCs w:val="20"/>
                <w:lang w:eastAsia="en-GB"/>
              </w:rPr>
            </w:pPr>
            <w:r>
              <w:rPr>
                <w:rFonts w:eastAsia="Times New Roman"/>
                <w:color w:val="000000"/>
                <w:sz w:val="20"/>
                <w:szCs w:val="20"/>
                <w:lang w:eastAsia="en-GB"/>
              </w:rPr>
              <w:t>7</w:t>
            </w:r>
          </w:p>
        </w:tc>
        <w:tc>
          <w:tcPr>
            <w:tcW w:w="1843" w:type="dxa"/>
            <w:tcBorders>
              <w:top w:val="nil"/>
              <w:left w:val="nil"/>
              <w:bottom w:val="single" w:sz="4" w:space="0" w:color="auto"/>
              <w:right w:val="single" w:sz="4" w:space="0" w:color="auto"/>
            </w:tcBorders>
            <w:shd w:val="clear" w:color="auto" w:fill="auto"/>
            <w:noWrap/>
            <w:vAlign w:val="bottom"/>
          </w:tcPr>
          <w:p w14:paraId="27B1ACD2" w14:textId="77777777" w:rsidR="00D37D86" w:rsidRPr="00206A4D" w:rsidRDefault="00D37D86" w:rsidP="00FC0C44">
            <w:pPr>
              <w:widowControl/>
              <w:autoSpaceDE/>
              <w:autoSpaceDN/>
              <w:jc w:val="center"/>
              <w:rPr>
                <w:rFonts w:eastAsia="Times New Roman"/>
                <w:color w:val="000000"/>
                <w:sz w:val="20"/>
                <w:szCs w:val="20"/>
                <w:lang w:eastAsia="en-GB"/>
              </w:rPr>
            </w:pPr>
            <w:r>
              <w:rPr>
                <w:rFonts w:eastAsia="Times New Roman"/>
                <w:color w:val="000000"/>
                <w:sz w:val="20"/>
                <w:szCs w:val="20"/>
                <w:lang w:eastAsia="en-GB"/>
              </w:rPr>
              <w:t>10</w:t>
            </w:r>
          </w:p>
        </w:tc>
        <w:tc>
          <w:tcPr>
            <w:tcW w:w="1031" w:type="dxa"/>
            <w:tcBorders>
              <w:top w:val="nil"/>
              <w:left w:val="nil"/>
              <w:bottom w:val="single" w:sz="4" w:space="0" w:color="auto"/>
              <w:right w:val="single" w:sz="4" w:space="0" w:color="auto"/>
            </w:tcBorders>
          </w:tcPr>
          <w:p w14:paraId="663FC8F5" w14:textId="77777777" w:rsidR="00D37D86" w:rsidRPr="0042435F" w:rsidRDefault="00D37D86" w:rsidP="00FC0C44">
            <w:pPr>
              <w:widowControl/>
              <w:autoSpaceDE/>
              <w:autoSpaceDN/>
              <w:jc w:val="center"/>
              <w:rPr>
                <w:rFonts w:eastAsia="Times New Roman"/>
                <w:b/>
                <w:bCs/>
                <w:color w:val="000000"/>
                <w:sz w:val="20"/>
                <w:szCs w:val="20"/>
                <w:lang w:eastAsia="en-GB"/>
              </w:rPr>
            </w:pPr>
            <w:r>
              <w:rPr>
                <w:rFonts w:eastAsia="Times New Roman"/>
                <w:b/>
                <w:bCs/>
                <w:color w:val="000000"/>
                <w:sz w:val="20"/>
                <w:szCs w:val="20"/>
                <w:lang w:eastAsia="en-GB"/>
              </w:rPr>
              <w:t>46</w:t>
            </w:r>
          </w:p>
        </w:tc>
      </w:tr>
      <w:tr w:rsidR="00D37D86" w:rsidRPr="002B164B" w14:paraId="0F5AF9A0" w14:textId="77777777" w:rsidTr="00FC0C44">
        <w:trPr>
          <w:trHeight w:val="315"/>
          <w:jc w:val="center"/>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14:paraId="6FC03753" w14:textId="77777777" w:rsidR="00D37D86" w:rsidRPr="002B164B" w:rsidRDefault="00D37D86" w:rsidP="00FC0C44">
            <w:pPr>
              <w:widowControl/>
              <w:autoSpaceDE/>
              <w:autoSpaceDN/>
              <w:rPr>
                <w:rFonts w:eastAsia="Times New Roman"/>
                <w:color w:val="000000"/>
                <w:sz w:val="20"/>
                <w:szCs w:val="20"/>
                <w:lang w:eastAsia="en-GB"/>
              </w:rPr>
            </w:pPr>
            <w:r>
              <w:rPr>
                <w:rFonts w:eastAsia="Times New Roman"/>
                <w:color w:val="000000"/>
                <w:sz w:val="20"/>
                <w:szCs w:val="20"/>
                <w:lang w:eastAsia="en-GB"/>
              </w:rPr>
              <w:t>June</w:t>
            </w:r>
          </w:p>
        </w:tc>
        <w:tc>
          <w:tcPr>
            <w:tcW w:w="2268" w:type="dxa"/>
            <w:tcBorders>
              <w:top w:val="nil"/>
              <w:left w:val="nil"/>
              <w:bottom w:val="single" w:sz="4" w:space="0" w:color="auto"/>
              <w:right w:val="single" w:sz="4" w:space="0" w:color="auto"/>
            </w:tcBorders>
            <w:shd w:val="clear" w:color="auto" w:fill="auto"/>
            <w:noWrap/>
            <w:vAlign w:val="bottom"/>
          </w:tcPr>
          <w:p w14:paraId="3C176C41" w14:textId="77777777" w:rsidR="00D37D86" w:rsidRPr="002B164B" w:rsidRDefault="00D37D86" w:rsidP="00FC0C44">
            <w:pPr>
              <w:widowControl/>
              <w:autoSpaceDE/>
              <w:autoSpaceDN/>
              <w:jc w:val="center"/>
              <w:rPr>
                <w:rFonts w:eastAsia="Times New Roman"/>
                <w:color w:val="000000"/>
                <w:sz w:val="20"/>
                <w:szCs w:val="20"/>
                <w:lang w:eastAsia="en-GB"/>
              </w:rPr>
            </w:pPr>
            <w:r>
              <w:rPr>
                <w:rFonts w:eastAsia="Times New Roman"/>
                <w:color w:val="000000"/>
                <w:sz w:val="20"/>
                <w:szCs w:val="20"/>
                <w:lang w:eastAsia="en-GB"/>
              </w:rPr>
              <w:t>40</w:t>
            </w:r>
          </w:p>
        </w:tc>
        <w:tc>
          <w:tcPr>
            <w:tcW w:w="2268" w:type="dxa"/>
            <w:tcBorders>
              <w:top w:val="nil"/>
              <w:left w:val="nil"/>
              <w:bottom w:val="single" w:sz="4" w:space="0" w:color="auto"/>
              <w:right w:val="single" w:sz="4" w:space="0" w:color="auto"/>
            </w:tcBorders>
            <w:shd w:val="clear" w:color="auto" w:fill="auto"/>
            <w:noWrap/>
            <w:vAlign w:val="bottom"/>
          </w:tcPr>
          <w:p w14:paraId="69A0D240" w14:textId="77777777" w:rsidR="00D37D86" w:rsidRPr="002B164B" w:rsidRDefault="00D37D86" w:rsidP="00FC0C44">
            <w:pPr>
              <w:widowControl/>
              <w:autoSpaceDE/>
              <w:autoSpaceDN/>
              <w:jc w:val="center"/>
              <w:rPr>
                <w:rFonts w:eastAsia="Times New Roman"/>
                <w:color w:val="000000"/>
                <w:sz w:val="20"/>
                <w:szCs w:val="20"/>
                <w:lang w:eastAsia="en-GB"/>
              </w:rPr>
            </w:pPr>
            <w:r>
              <w:rPr>
                <w:rFonts w:eastAsia="Times New Roman"/>
                <w:color w:val="000000"/>
                <w:sz w:val="20"/>
                <w:szCs w:val="20"/>
                <w:lang w:eastAsia="en-GB"/>
              </w:rPr>
              <w:t>20</w:t>
            </w:r>
          </w:p>
        </w:tc>
        <w:tc>
          <w:tcPr>
            <w:tcW w:w="1843" w:type="dxa"/>
            <w:tcBorders>
              <w:top w:val="nil"/>
              <w:left w:val="nil"/>
              <w:bottom w:val="single" w:sz="4" w:space="0" w:color="auto"/>
              <w:right w:val="single" w:sz="4" w:space="0" w:color="auto"/>
            </w:tcBorders>
            <w:shd w:val="clear" w:color="auto" w:fill="auto"/>
            <w:noWrap/>
            <w:vAlign w:val="bottom"/>
          </w:tcPr>
          <w:p w14:paraId="59AEDCE1" w14:textId="77777777" w:rsidR="00D37D86" w:rsidRPr="002B164B" w:rsidRDefault="00D37D86" w:rsidP="00FC0C44">
            <w:pPr>
              <w:widowControl/>
              <w:autoSpaceDE/>
              <w:autoSpaceDN/>
              <w:jc w:val="center"/>
              <w:rPr>
                <w:rFonts w:eastAsia="Times New Roman"/>
                <w:color w:val="000000"/>
                <w:sz w:val="20"/>
                <w:szCs w:val="20"/>
                <w:lang w:eastAsia="en-GB"/>
              </w:rPr>
            </w:pPr>
            <w:r>
              <w:rPr>
                <w:rFonts w:eastAsia="Times New Roman"/>
                <w:color w:val="000000"/>
                <w:sz w:val="20"/>
                <w:szCs w:val="20"/>
                <w:lang w:eastAsia="en-GB"/>
              </w:rPr>
              <w:t>13</w:t>
            </w:r>
          </w:p>
        </w:tc>
        <w:tc>
          <w:tcPr>
            <w:tcW w:w="1031" w:type="dxa"/>
            <w:tcBorders>
              <w:top w:val="nil"/>
              <w:left w:val="nil"/>
              <w:bottom w:val="single" w:sz="4" w:space="0" w:color="auto"/>
              <w:right w:val="single" w:sz="4" w:space="0" w:color="auto"/>
            </w:tcBorders>
          </w:tcPr>
          <w:p w14:paraId="245C98B4" w14:textId="77777777" w:rsidR="00D37D86" w:rsidRPr="002B164B" w:rsidRDefault="00D37D86" w:rsidP="00FC0C44">
            <w:pPr>
              <w:widowControl/>
              <w:autoSpaceDE/>
              <w:autoSpaceDN/>
              <w:jc w:val="center"/>
              <w:rPr>
                <w:rFonts w:eastAsia="Times New Roman"/>
                <w:b/>
                <w:bCs/>
                <w:color w:val="000000"/>
                <w:sz w:val="20"/>
                <w:szCs w:val="20"/>
                <w:lang w:eastAsia="en-GB"/>
              </w:rPr>
            </w:pPr>
            <w:r>
              <w:rPr>
                <w:rFonts w:eastAsia="Times New Roman"/>
                <w:b/>
                <w:bCs/>
                <w:color w:val="000000"/>
                <w:sz w:val="20"/>
                <w:szCs w:val="20"/>
                <w:lang w:eastAsia="en-GB"/>
              </w:rPr>
              <w:t>73</w:t>
            </w:r>
          </w:p>
        </w:tc>
      </w:tr>
      <w:tr w:rsidR="00D37D86" w:rsidRPr="002B164B" w14:paraId="0271ACB7" w14:textId="77777777" w:rsidTr="00FC0C44">
        <w:trPr>
          <w:trHeight w:val="300"/>
          <w:jc w:val="center"/>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14:paraId="30272680" w14:textId="77777777" w:rsidR="00D37D86" w:rsidRPr="002B164B" w:rsidRDefault="00D37D86" w:rsidP="00FC0C44">
            <w:pPr>
              <w:widowControl/>
              <w:autoSpaceDE/>
              <w:autoSpaceDN/>
              <w:rPr>
                <w:rFonts w:eastAsia="Times New Roman"/>
                <w:color w:val="000000"/>
                <w:sz w:val="20"/>
                <w:szCs w:val="20"/>
                <w:lang w:eastAsia="en-GB"/>
              </w:rPr>
            </w:pPr>
            <w:r>
              <w:rPr>
                <w:rFonts w:eastAsia="Times New Roman"/>
                <w:color w:val="000000"/>
                <w:sz w:val="20"/>
                <w:szCs w:val="20"/>
                <w:lang w:eastAsia="en-GB"/>
              </w:rPr>
              <w:t>July</w:t>
            </w:r>
          </w:p>
        </w:tc>
        <w:tc>
          <w:tcPr>
            <w:tcW w:w="2268" w:type="dxa"/>
            <w:tcBorders>
              <w:top w:val="nil"/>
              <w:left w:val="nil"/>
              <w:bottom w:val="single" w:sz="4" w:space="0" w:color="auto"/>
              <w:right w:val="single" w:sz="4" w:space="0" w:color="auto"/>
            </w:tcBorders>
            <w:shd w:val="clear" w:color="auto" w:fill="auto"/>
            <w:noWrap/>
            <w:vAlign w:val="bottom"/>
          </w:tcPr>
          <w:p w14:paraId="68FCB8E4" w14:textId="77777777" w:rsidR="00D37D86" w:rsidRPr="002B164B" w:rsidRDefault="00D37D86" w:rsidP="00FC0C44">
            <w:pPr>
              <w:widowControl/>
              <w:autoSpaceDE/>
              <w:autoSpaceDN/>
              <w:jc w:val="center"/>
              <w:rPr>
                <w:rFonts w:eastAsia="Times New Roman"/>
                <w:color w:val="000000"/>
                <w:sz w:val="20"/>
                <w:szCs w:val="20"/>
                <w:lang w:eastAsia="en-GB"/>
              </w:rPr>
            </w:pPr>
            <w:r>
              <w:rPr>
                <w:rFonts w:eastAsia="Times New Roman"/>
                <w:color w:val="000000"/>
                <w:sz w:val="20"/>
                <w:szCs w:val="20"/>
                <w:lang w:eastAsia="en-GB"/>
              </w:rPr>
              <w:t>23</w:t>
            </w:r>
          </w:p>
        </w:tc>
        <w:tc>
          <w:tcPr>
            <w:tcW w:w="2268" w:type="dxa"/>
            <w:tcBorders>
              <w:top w:val="nil"/>
              <w:left w:val="nil"/>
              <w:bottom w:val="single" w:sz="4" w:space="0" w:color="auto"/>
              <w:right w:val="single" w:sz="4" w:space="0" w:color="auto"/>
            </w:tcBorders>
            <w:shd w:val="clear" w:color="auto" w:fill="auto"/>
            <w:noWrap/>
            <w:vAlign w:val="bottom"/>
          </w:tcPr>
          <w:p w14:paraId="424DEC1A" w14:textId="77777777" w:rsidR="00D37D86" w:rsidRPr="002B164B" w:rsidRDefault="00D37D86" w:rsidP="00FC0C44">
            <w:pPr>
              <w:widowControl/>
              <w:autoSpaceDE/>
              <w:autoSpaceDN/>
              <w:jc w:val="center"/>
              <w:rPr>
                <w:rFonts w:eastAsia="Times New Roman"/>
                <w:color w:val="000000"/>
                <w:sz w:val="20"/>
                <w:szCs w:val="20"/>
                <w:lang w:eastAsia="en-GB"/>
              </w:rPr>
            </w:pPr>
            <w:r>
              <w:rPr>
                <w:rFonts w:eastAsia="Times New Roman"/>
                <w:color w:val="000000"/>
                <w:sz w:val="20"/>
                <w:szCs w:val="20"/>
                <w:lang w:eastAsia="en-GB"/>
              </w:rPr>
              <w:t>14</w:t>
            </w:r>
          </w:p>
        </w:tc>
        <w:tc>
          <w:tcPr>
            <w:tcW w:w="1843" w:type="dxa"/>
            <w:tcBorders>
              <w:top w:val="nil"/>
              <w:left w:val="nil"/>
              <w:bottom w:val="single" w:sz="4" w:space="0" w:color="auto"/>
              <w:right w:val="single" w:sz="4" w:space="0" w:color="auto"/>
            </w:tcBorders>
            <w:shd w:val="clear" w:color="auto" w:fill="auto"/>
            <w:noWrap/>
            <w:vAlign w:val="bottom"/>
          </w:tcPr>
          <w:p w14:paraId="42678327" w14:textId="77777777" w:rsidR="00D37D86" w:rsidRPr="002B164B" w:rsidRDefault="00D37D86" w:rsidP="00FC0C44">
            <w:pPr>
              <w:widowControl/>
              <w:autoSpaceDE/>
              <w:autoSpaceDN/>
              <w:jc w:val="center"/>
              <w:rPr>
                <w:rFonts w:eastAsia="Times New Roman"/>
                <w:color w:val="000000"/>
                <w:sz w:val="20"/>
                <w:szCs w:val="20"/>
                <w:lang w:eastAsia="en-GB"/>
              </w:rPr>
            </w:pPr>
            <w:r>
              <w:rPr>
                <w:rFonts w:eastAsia="Times New Roman"/>
                <w:color w:val="000000"/>
                <w:sz w:val="20"/>
                <w:szCs w:val="20"/>
                <w:lang w:eastAsia="en-GB"/>
              </w:rPr>
              <w:t>8</w:t>
            </w:r>
          </w:p>
        </w:tc>
        <w:tc>
          <w:tcPr>
            <w:tcW w:w="1031" w:type="dxa"/>
            <w:tcBorders>
              <w:top w:val="nil"/>
              <w:left w:val="nil"/>
              <w:bottom w:val="single" w:sz="4" w:space="0" w:color="auto"/>
              <w:right w:val="single" w:sz="4" w:space="0" w:color="auto"/>
            </w:tcBorders>
          </w:tcPr>
          <w:p w14:paraId="181F439D" w14:textId="77777777" w:rsidR="00D37D86" w:rsidRPr="002B164B" w:rsidRDefault="00D37D86" w:rsidP="00FC0C44">
            <w:pPr>
              <w:widowControl/>
              <w:autoSpaceDE/>
              <w:autoSpaceDN/>
              <w:jc w:val="center"/>
              <w:rPr>
                <w:rFonts w:eastAsia="Times New Roman"/>
                <w:b/>
                <w:bCs/>
                <w:color w:val="000000"/>
                <w:sz w:val="20"/>
                <w:szCs w:val="20"/>
                <w:lang w:eastAsia="en-GB"/>
              </w:rPr>
            </w:pPr>
            <w:r w:rsidRPr="002B164B">
              <w:rPr>
                <w:rFonts w:eastAsia="Times New Roman"/>
                <w:b/>
                <w:bCs/>
                <w:color w:val="000000"/>
                <w:sz w:val="20"/>
                <w:szCs w:val="20"/>
                <w:lang w:eastAsia="en-GB"/>
              </w:rPr>
              <w:t>4</w:t>
            </w:r>
            <w:r>
              <w:rPr>
                <w:rFonts w:eastAsia="Times New Roman"/>
                <w:b/>
                <w:bCs/>
                <w:color w:val="000000"/>
                <w:sz w:val="20"/>
                <w:szCs w:val="20"/>
                <w:lang w:eastAsia="en-GB"/>
              </w:rPr>
              <w:t>5</w:t>
            </w:r>
          </w:p>
        </w:tc>
      </w:tr>
    </w:tbl>
    <w:p w14:paraId="5DFB9151" w14:textId="77777777" w:rsidR="00D37D86" w:rsidRPr="002B164B" w:rsidRDefault="00D37D86" w:rsidP="00D37D86">
      <w:pPr>
        <w:jc w:val="right"/>
        <w:rPr>
          <w:sz w:val="24"/>
          <w:szCs w:val="24"/>
        </w:rPr>
      </w:pPr>
      <w:r w:rsidRPr="002B164B">
        <w:rPr>
          <w:noProof/>
          <w:sz w:val="24"/>
          <w:szCs w:val="24"/>
        </w:rPr>
        <mc:AlternateContent>
          <mc:Choice Requires="wps">
            <w:drawing>
              <wp:inline distT="0" distB="0" distL="0" distR="0" wp14:anchorId="78D521BF" wp14:editId="0EF2D792">
                <wp:extent cx="5381625" cy="361950"/>
                <wp:effectExtent l="0" t="0" r="9525" b="0"/>
                <wp:docPr id="6" name="Text Box 6"/>
                <wp:cNvGraphicFramePr/>
                <a:graphic xmlns:a="http://schemas.openxmlformats.org/drawingml/2006/main">
                  <a:graphicData uri="http://schemas.microsoft.com/office/word/2010/wordprocessingShape">
                    <wps:wsp>
                      <wps:cNvSpPr txBox="1"/>
                      <wps:spPr>
                        <a:xfrm>
                          <a:off x="0" y="0"/>
                          <a:ext cx="5381625" cy="361950"/>
                        </a:xfrm>
                        <a:prstGeom prst="rect">
                          <a:avLst/>
                        </a:prstGeom>
                        <a:solidFill>
                          <a:schemeClr val="lt1"/>
                        </a:solidFill>
                        <a:ln w="6350">
                          <a:noFill/>
                        </a:ln>
                      </wps:spPr>
                      <wps:txbx>
                        <w:txbxContent>
                          <w:p w14:paraId="16054287" w14:textId="77777777" w:rsidR="00D37D86" w:rsidRPr="006D338C" w:rsidRDefault="00D37D86" w:rsidP="00D37D86">
                            <w:pPr>
                              <w:rPr>
                                <w:b/>
                                <w:bCs/>
                                <w:sz w:val="16"/>
                                <w:szCs w:val="16"/>
                              </w:rPr>
                            </w:pPr>
                            <w:r w:rsidRPr="006D338C">
                              <w:rPr>
                                <w:b/>
                                <w:bCs/>
                                <w:sz w:val="16"/>
                                <w:szCs w:val="16"/>
                              </w:rPr>
                              <w:t xml:space="preserve">Figure </w:t>
                            </w:r>
                            <w:r>
                              <w:rPr>
                                <w:b/>
                                <w:bCs/>
                                <w:sz w:val="16"/>
                                <w:szCs w:val="16"/>
                              </w:rPr>
                              <w:t>3</w:t>
                            </w:r>
                            <w:r w:rsidRPr="006D338C">
                              <w:rPr>
                                <w:b/>
                                <w:bCs/>
                                <w:sz w:val="16"/>
                                <w:szCs w:val="16"/>
                              </w:rPr>
                              <w:t xml:space="preserve"> </w:t>
                            </w:r>
                            <w:r w:rsidRPr="0068116A">
                              <w:rPr>
                                <w:sz w:val="16"/>
                                <w:szCs w:val="16"/>
                              </w:rPr>
                              <w:t>- Please</w:t>
                            </w:r>
                            <w:r w:rsidRPr="006D338C">
                              <w:rPr>
                                <w:sz w:val="16"/>
                                <w:szCs w:val="16"/>
                              </w:rPr>
                              <w:t xml:space="preserve"> note that the total number of indicators fluctuates </w:t>
                            </w:r>
                            <w:r>
                              <w:rPr>
                                <w:sz w:val="16"/>
                                <w:szCs w:val="16"/>
                              </w:rPr>
                              <w:t>as some measures are quarterly</w:t>
                            </w:r>
                            <w:r w:rsidRPr="006D338C">
                              <w:rPr>
                                <w:sz w:val="16"/>
                                <w:szCs w:val="16"/>
                              </w:rPr>
                              <w:t xml:space="preserve">, </w:t>
                            </w:r>
                            <w:r>
                              <w:rPr>
                                <w:sz w:val="16"/>
                                <w:szCs w:val="16"/>
                              </w:rPr>
                              <w:t xml:space="preserve">6monthly and annually.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D521BF" id="Text Box 6" o:spid="_x0000_s1027" type="#_x0000_t202" style="width:423.7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" fillcolor="white [3201]" stroked="f" strokeweight=".5pt">
                <v:textbox>
                  <w:txbxContent>
                    <w:p w14:paraId="16054287" w14:textId="77777777" w:rsidR="00D37D86" w:rsidRPr="006D338C" w:rsidRDefault="00D37D86" w:rsidP="00D37D86">
                      <w:pPr>
                        <w:rPr>
                          <w:b/>
                          <w:bCs/>
                          <w:sz w:val="16"/>
                          <w:szCs w:val="16"/>
                        </w:rPr>
                      </w:pPr>
                      <w:r w:rsidRPr="006D338C">
                        <w:rPr>
                          <w:b/>
                          <w:bCs/>
                          <w:sz w:val="16"/>
                          <w:szCs w:val="16"/>
                        </w:rPr>
                        <w:t xml:space="preserve">Figure </w:t>
                      </w:r>
                      <w:r>
                        <w:rPr>
                          <w:b/>
                          <w:bCs/>
                          <w:sz w:val="16"/>
                          <w:szCs w:val="16"/>
                        </w:rPr>
                        <w:t>3</w:t>
                      </w:r>
                      <w:r w:rsidRPr="006D338C">
                        <w:rPr>
                          <w:b/>
                          <w:bCs/>
                          <w:sz w:val="16"/>
                          <w:szCs w:val="16"/>
                        </w:rPr>
                        <w:t xml:space="preserve"> </w:t>
                      </w:r>
                      <w:r w:rsidRPr="0068116A">
                        <w:rPr>
                          <w:sz w:val="16"/>
                          <w:szCs w:val="16"/>
                        </w:rPr>
                        <w:t>- Please</w:t>
                      </w:r>
                      <w:r w:rsidRPr="006D338C">
                        <w:rPr>
                          <w:sz w:val="16"/>
                          <w:szCs w:val="16"/>
                        </w:rPr>
                        <w:t xml:space="preserve"> note that the total number of indicators fluctuates </w:t>
                      </w:r>
                      <w:r>
                        <w:rPr>
                          <w:sz w:val="16"/>
                          <w:szCs w:val="16"/>
                        </w:rPr>
                        <w:t>as some measures are quarterly</w:t>
                      </w:r>
                      <w:r w:rsidRPr="006D338C">
                        <w:rPr>
                          <w:sz w:val="16"/>
                          <w:szCs w:val="16"/>
                        </w:rPr>
                        <w:t xml:space="preserve">, </w:t>
                      </w:r>
                      <w:r>
                        <w:rPr>
                          <w:sz w:val="16"/>
                          <w:szCs w:val="16"/>
                        </w:rPr>
                        <w:t xml:space="preserve">6monthly and annually. </w:t>
                      </w:r>
                    </w:p>
                  </w:txbxContent>
                </v:textbox>
                <w10:anchorlock/>
              </v:shape>
            </w:pict>
          </mc:Fallback>
        </mc:AlternateContent>
      </w:r>
    </w:p>
    <w:p w14:paraId="1702AA0C" w14:textId="77777777" w:rsidR="00D37D86" w:rsidRPr="002B164B" w:rsidRDefault="00D37D86" w:rsidP="00D37D86">
      <w:pPr>
        <w:rPr>
          <w:b/>
          <w:bCs/>
          <w:sz w:val="24"/>
          <w:szCs w:val="24"/>
          <w:u w:val="single"/>
        </w:rPr>
      </w:pPr>
    </w:p>
    <w:p w14:paraId="5C423BC4" w14:textId="77777777" w:rsidR="00D37D86" w:rsidRPr="002B164B" w:rsidRDefault="00D37D86" w:rsidP="00D37D86">
      <w:pPr>
        <w:rPr>
          <w:b/>
          <w:bCs/>
          <w:sz w:val="28"/>
          <w:szCs w:val="28"/>
          <w:u w:val="single"/>
        </w:rPr>
      </w:pPr>
    </w:p>
    <w:p w14:paraId="73FBAAE3" w14:textId="77777777" w:rsidR="00D37D86" w:rsidRPr="002B164B" w:rsidRDefault="00D37D86" w:rsidP="00D37D86">
      <w:pPr>
        <w:widowControl/>
        <w:autoSpaceDE/>
        <w:autoSpaceDN/>
        <w:spacing w:after="160" w:line="259" w:lineRule="auto"/>
        <w:rPr>
          <w:sz w:val="28"/>
          <w:szCs w:val="28"/>
          <w:u w:val="single"/>
        </w:rPr>
      </w:pPr>
      <w:r w:rsidRPr="002B164B">
        <w:rPr>
          <w:b/>
          <w:bCs/>
          <w:sz w:val="28"/>
          <w:szCs w:val="28"/>
          <w:u w:val="single"/>
        </w:rPr>
        <w:t>Performance Exceptions</w:t>
      </w:r>
      <w:r w:rsidRPr="002B164B">
        <w:rPr>
          <w:sz w:val="24"/>
          <w:szCs w:val="24"/>
        </w:rPr>
        <w:tab/>
      </w:r>
      <w:r w:rsidRPr="002B164B">
        <w:rPr>
          <w:sz w:val="24"/>
          <w:szCs w:val="24"/>
        </w:rPr>
        <w:tab/>
      </w:r>
      <w:r w:rsidRPr="002B164B">
        <w:rPr>
          <w:sz w:val="24"/>
          <w:szCs w:val="24"/>
        </w:rPr>
        <w:tab/>
      </w:r>
      <w:r w:rsidRPr="002B164B">
        <w:rPr>
          <w:sz w:val="24"/>
          <w:szCs w:val="24"/>
        </w:rPr>
        <w:tab/>
      </w:r>
      <w:r w:rsidRPr="002B164B">
        <w:rPr>
          <w:sz w:val="24"/>
          <w:szCs w:val="24"/>
        </w:rPr>
        <w:tab/>
      </w:r>
      <w:r w:rsidRPr="002B164B">
        <w:rPr>
          <w:sz w:val="24"/>
          <w:szCs w:val="24"/>
        </w:rPr>
        <w:tab/>
        <w:t xml:space="preserve">           </w:t>
      </w:r>
    </w:p>
    <w:p w14:paraId="18D7BAC2" w14:textId="77777777" w:rsidR="00D37D86" w:rsidRPr="002B164B" w:rsidRDefault="00D37D86" w:rsidP="00D37D86">
      <w:pPr>
        <w:pStyle w:val="ListParagraph"/>
        <w:widowControl/>
        <w:numPr>
          <w:ilvl w:val="0"/>
          <w:numId w:val="37"/>
        </w:numPr>
        <w:autoSpaceDE/>
        <w:autoSpaceDN/>
        <w:rPr>
          <w:rFonts w:eastAsia="Times New Roman"/>
          <w:sz w:val="24"/>
          <w:szCs w:val="24"/>
        </w:rPr>
      </w:pPr>
      <w:r w:rsidRPr="002B164B">
        <w:rPr>
          <w:rFonts w:eastAsia="Times New Roman"/>
          <w:sz w:val="24"/>
          <w:szCs w:val="24"/>
        </w:rPr>
        <w:t xml:space="preserve">This section of the report details each measure reporting Red or Amber status (Amber consecutive for two months) with supporting commentary from the Directorate and analysis from the performance and insight team. The exception report </w:t>
      </w:r>
      <w:r>
        <w:rPr>
          <w:rFonts w:eastAsia="Times New Roman"/>
          <w:sz w:val="24"/>
          <w:szCs w:val="24"/>
        </w:rPr>
        <w:t>focuses</w:t>
      </w:r>
      <w:r w:rsidRPr="002B164B">
        <w:rPr>
          <w:rFonts w:eastAsia="Times New Roman"/>
          <w:sz w:val="24"/>
          <w:szCs w:val="24"/>
        </w:rPr>
        <w:t xml:space="preserve"> on the </w:t>
      </w:r>
      <w:r>
        <w:rPr>
          <w:rFonts w:eastAsia="Times New Roman"/>
          <w:sz w:val="24"/>
          <w:szCs w:val="24"/>
        </w:rPr>
        <w:t>10</w:t>
      </w:r>
      <w:r w:rsidRPr="002B164B">
        <w:rPr>
          <w:rFonts w:eastAsia="Times New Roman"/>
          <w:sz w:val="24"/>
          <w:szCs w:val="24"/>
        </w:rPr>
        <w:t xml:space="preserve"> measures that have red outcomes and the </w:t>
      </w:r>
      <w:r>
        <w:rPr>
          <w:rFonts w:eastAsia="Times New Roman"/>
          <w:sz w:val="24"/>
          <w:szCs w:val="24"/>
        </w:rPr>
        <w:t>9</w:t>
      </w:r>
      <w:r w:rsidRPr="002B164B">
        <w:rPr>
          <w:rFonts w:eastAsia="Times New Roman"/>
          <w:sz w:val="24"/>
          <w:szCs w:val="24"/>
        </w:rPr>
        <w:t xml:space="preserve"> measures that have reported amber outcomes for two months consecutively. </w:t>
      </w:r>
    </w:p>
    <w:p w14:paraId="3B904E84" w14:textId="77777777" w:rsidR="00910DB5" w:rsidRDefault="00910DB5" w:rsidP="00910DB5">
      <w:pPr>
        <w:rPr>
          <w:sz w:val="24"/>
          <w:szCs w:val="24"/>
        </w:rPr>
      </w:pPr>
    </w:p>
    <w:p w14:paraId="37C50385" w14:textId="24FBADF2" w:rsidR="00D37D86" w:rsidRPr="00910DB5" w:rsidRDefault="00D37D86" w:rsidP="00910DB5">
      <w:pPr>
        <w:pStyle w:val="ListParagraph"/>
        <w:numPr>
          <w:ilvl w:val="1"/>
          <w:numId w:val="43"/>
        </w:numPr>
        <w:ind w:left="426"/>
        <w:rPr>
          <w:b/>
          <w:bCs/>
          <w:sz w:val="24"/>
          <w:szCs w:val="24"/>
        </w:rPr>
      </w:pPr>
      <w:r w:rsidRPr="00910DB5">
        <w:rPr>
          <w:b/>
          <w:bCs/>
          <w:sz w:val="24"/>
          <w:szCs w:val="24"/>
        </w:rPr>
        <w:t>Priority OCC 01</w:t>
      </w:r>
      <w:r w:rsidRPr="00910DB5">
        <w:rPr>
          <w:sz w:val="24"/>
          <w:szCs w:val="24"/>
        </w:rPr>
        <w:t xml:space="preserve">: </w:t>
      </w:r>
      <w:r w:rsidRPr="00910DB5">
        <w:rPr>
          <w:b/>
          <w:bCs/>
          <w:sz w:val="24"/>
          <w:szCs w:val="24"/>
        </w:rPr>
        <w:t>Put action to address the climate emergency at the heart of our activities</w:t>
      </w:r>
    </w:p>
    <w:p w14:paraId="1C24E4B4" w14:textId="77777777" w:rsidR="00D37D86" w:rsidRPr="002B164B" w:rsidRDefault="00D37D86" w:rsidP="00D37D86">
      <w:pPr>
        <w:rPr>
          <w:b/>
          <w:bCs/>
          <w:sz w:val="24"/>
          <w:szCs w:val="24"/>
        </w:rPr>
      </w:pPr>
    </w:p>
    <w:p w14:paraId="4E6689A2" w14:textId="77777777" w:rsidR="00D37D86" w:rsidRPr="002B164B" w:rsidRDefault="00D37D86" w:rsidP="00D37D86">
      <w:pPr>
        <w:ind w:firstLine="426"/>
        <w:jc w:val="both"/>
        <w:rPr>
          <w:sz w:val="24"/>
          <w:szCs w:val="24"/>
        </w:rPr>
      </w:pPr>
      <w:r w:rsidRPr="002B164B">
        <w:rPr>
          <w:sz w:val="24"/>
          <w:szCs w:val="24"/>
        </w:rPr>
        <w:t>This priority has 3 monthly measures being reported in July: 1 Amber and 2 Green.</w:t>
      </w:r>
    </w:p>
    <w:p w14:paraId="4EBAE730" w14:textId="77777777" w:rsidR="00D37D86" w:rsidRPr="002B164B" w:rsidRDefault="00D37D86" w:rsidP="00D37D86">
      <w:pPr>
        <w:ind w:firstLine="426"/>
        <w:jc w:val="both"/>
        <w:rPr>
          <w:sz w:val="24"/>
          <w:szCs w:val="24"/>
        </w:rPr>
      </w:pPr>
    </w:p>
    <w:tbl>
      <w:tblPr>
        <w:tblpPr w:leftFromText="180" w:rightFromText="180" w:vertAnchor="text" w:tblpY="1"/>
        <w:tblOverlap w:val="never"/>
        <w:tblW w:w="2357" w:type="dxa"/>
        <w:tblLook w:val="04A0" w:firstRow="1" w:lastRow="0" w:firstColumn="1" w:lastColumn="0" w:noHBand="0" w:noVBand="1"/>
      </w:tblPr>
      <w:tblGrid>
        <w:gridCol w:w="857"/>
        <w:gridCol w:w="1047"/>
        <w:gridCol w:w="1097"/>
      </w:tblGrid>
      <w:tr w:rsidR="00D37D86" w:rsidRPr="002B164B" w14:paraId="13B5D7AA" w14:textId="77777777" w:rsidTr="00FC0C44">
        <w:trPr>
          <w:trHeight w:val="454"/>
        </w:trPr>
        <w:tc>
          <w:tcPr>
            <w:tcW w:w="235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440662" w14:textId="77777777" w:rsidR="00D37D86" w:rsidRPr="002B164B" w:rsidRDefault="00D37D86" w:rsidP="00FC0C44">
            <w:pPr>
              <w:widowControl/>
              <w:autoSpaceDE/>
              <w:autoSpaceDN/>
              <w:rPr>
                <w:rFonts w:eastAsia="Times New Roman"/>
                <w:b/>
                <w:bCs/>
                <w:color w:val="000000"/>
                <w:sz w:val="18"/>
                <w:szCs w:val="18"/>
                <w:lang w:eastAsia="en-GB"/>
              </w:rPr>
            </w:pPr>
            <w:r w:rsidRPr="002B164B">
              <w:rPr>
                <w:rFonts w:eastAsia="Times New Roman"/>
                <w:b/>
                <w:bCs/>
                <w:color w:val="000000"/>
                <w:sz w:val="18"/>
                <w:szCs w:val="18"/>
                <w:lang w:eastAsia="en-GB"/>
              </w:rPr>
              <w:t>Priority OCC01 overall performance:</w:t>
            </w:r>
          </w:p>
        </w:tc>
      </w:tr>
      <w:tr w:rsidR="00D37D86" w:rsidRPr="002B164B" w14:paraId="389399D3" w14:textId="77777777" w:rsidTr="00FC0C44">
        <w:trPr>
          <w:trHeight w:val="290"/>
        </w:trPr>
        <w:tc>
          <w:tcPr>
            <w:tcW w:w="673" w:type="dxa"/>
            <w:tcBorders>
              <w:top w:val="nil"/>
              <w:left w:val="single" w:sz="8" w:space="0" w:color="auto"/>
              <w:bottom w:val="single" w:sz="4" w:space="0" w:color="auto"/>
              <w:right w:val="single" w:sz="4" w:space="0" w:color="auto"/>
            </w:tcBorders>
            <w:shd w:val="clear" w:color="auto" w:fill="92D050"/>
            <w:noWrap/>
            <w:vAlign w:val="center"/>
            <w:hideMark/>
          </w:tcPr>
          <w:p w14:paraId="421F4430"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April</w:t>
            </w:r>
          </w:p>
        </w:tc>
        <w:tc>
          <w:tcPr>
            <w:tcW w:w="835" w:type="dxa"/>
            <w:tcBorders>
              <w:top w:val="nil"/>
              <w:left w:val="nil"/>
              <w:bottom w:val="single" w:sz="4" w:space="0" w:color="auto"/>
              <w:right w:val="single" w:sz="4" w:space="0" w:color="auto"/>
            </w:tcBorders>
            <w:shd w:val="clear" w:color="auto" w:fill="FFC000"/>
            <w:noWrap/>
            <w:vAlign w:val="center"/>
            <w:hideMark/>
          </w:tcPr>
          <w:p w14:paraId="4487BE74"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May</w:t>
            </w:r>
          </w:p>
        </w:tc>
        <w:tc>
          <w:tcPr>
            <w:tcW w:w="848" w:type="dxa"/>
            <w:tcBorders>
              <w:top w:val="nil"/>
              <w:left w:val="nil"/>
              <w:bottom w:val="single" w:sz="4" w:space="0" w:color="auto"/>
              <w:right w:val="single" w:sz="8" w:space="0" w:color="auto"/>
            </w:tcBorders>
            <w:shd w:val="clear" w:color="auto" w:fill="FFC000"/>
            <w:noWrap/>
            <w:vAlign w:val="center"/>
            <w:hideMark/>
          </w:tcPr>
          <w:p w14:paraId="26A239E4"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June</w:t>
            </w:r>
          </w:p>
        </w:tc>
      </w:tr>
      <w:tr w:rsidR="00D37D86" w:rsidRPr="002B164B" w14:paraId="527D247B" w14:textId="77777777" w:rsidTr="00FC0C44">
        <w:trPr>
          <w:trHeight w:val="305"/>
        </w:trPr>
        <w:tc>
          <w:tcPr>
            <w:tcW w:w="673" w:type="dxa"/>
            <w:tcBorders>
              <w:top w:val="nil"/>
              <w:left w:val="single" w:sz="8" w:space="0" w:color="auto"/>
              <w:bottom w:val="single" w:sz="4" w:space="0" w:color="auto"/>
              <w:right w:val="single" w:sz="4" w:space="0" w:color="auto"/>
            </w:tcBorders>
            <w:shd w:val="clear" w:color="auto" w:fill="92D050"/>
            <w:noWrap/>
            <w:vAlign w:val="center"/>
            <w:hideMark/>
          </w:tcPr>
          <w:p w14:paraId="1180FDC2" w14:textId="77777777" w:rsidR="00D37D86" w:rsidRPr="002B164B" w:rsidRDefault="00D37D86" w:rsidP="00FC0C44">
            <w:pPr>
              <w:widowControl/>
              <w:autoSpaceDE/>
              <w:autoSpaceDN/>
              <w:jc w:val="center"/>
              <w:rPr>
                <w:rFonts w:eastAsia="Times New Roman"/>
                <w:sz w:val="18"/>
                <w:szCs w:val="18"/>
                <w:lang w:eastAsia="en-GB"/>
              </w:rPr>
            </w:pPr>
            <w:r w:rsidRPr="002B164B">
              <w:rPr>
                <w:rFonts w:eastAsia="Times New Roman"/>
                <w:sz w:val="18"/>
                <w:szCs w:val="18"/>
                <w:lang w:eastAsia="en-GB"/>
              </w:rPr>
              <w:t>July</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C93C79B"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August</w:t>
            </w:r>
          </w:p>
        </w:tc>
        <w:tc>
          <w:tcPr>
            <w:tcW w:w="848" w:type="dxa"/>
            <w:tcBorders>
              <w:top w:val="nil"/>
              <w:left w:val="nil"/>
              <w:bottom w:val="single" w:sz="4" w:space="0" w:color="auto"/>
              <w:right w:val="single" w:sz="8" w:space="0" w:color="auto"/>
            </w:tcBorders>
            <w:shd w:val="clear" w:color="auto" w:fill="FFFFFF" w:themeFill="background1"/>
            <w:noWrap/>
            <w:vAlign w:val="center"/>
            <w:hideMark/>
          </w:tcPr>
          <w:p w14:paraId="6C5D4DC3"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September</w:t>
            </w:r>
          </w:p>
        </w:tc>
      </w:tr>
      <w:tr w:rsidR="00D37D86" w:rsidRPr="002B164B" w14:paraId="7D6CF14B" w14:textId="77777777" w:rsidTr="00FC0C44">
        <w:trPr>
          <w:trHeight w:val="295"/>
        </w:trPr>
        <w:tc>
          <w:tcPr>
            <w:tcW w:w="673"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5ED593A"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October</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D84D80B"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November</w:t>
            </w:r>
          </w:p>
        </w:tc>
        <w:tc>
          <w:tcPr>
            <w:tcW w:w="848" w:type="dxa"/>
            <w:tcBorders>
              <w:top w:val="nil"/>
              <w:left w:val="nil"/>
              <w:bottom w:val="single" w:sz="4" w:space="0" w:color="auto"/>
              <w:right w:val="single" w:sz="8" w:space="0" w:color="auto"/>
            </w:tcBorders>
            <w:shd w:val="clear" w:color="auto" w:fill="FFFFFF" w:themeFill="background1"/>
            <w:noWrap/>
            <w:vAlign w:val="center"/>
            <w:hideMark/>
          </w:tcPr>
          <w:p w14:paraId="0C60ECE6"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December</w:t>
            </w:r>
          </w:p>
        </w:tc>
      </w:tr>
      <w:tr w:rsidR="00D37D86" w:rsidRPr="002B164B" w14:paraId="768ACFAB" w14:textId="77777777" w:rsidTr="00FC0C44">
        <w:trPr>
          <w:trHeight w:val="298"/>
        </w:trPr>
        <w:tc>
          <w:tcPr>
            <w:tcW w:w="673" w:type="dxa"/>
            <w:tcBorders>
              <w:top w:val="nil"/>
              <w:left w:val="single" w:sz="8" w:space="0" w:color="auto"/>
              <w:bottom w:val="single" w:sz="8" w:space="0" w:color="auto"/>
              <w:right w:val="single" w:sz="4" w:space="0" w:color="auto"/>
            </w:tcBorders>
            <w:shd w:val="clear" w:color="auto" w:fill="FFFFFF" w:themeFill="background1"/>
            <w:noWrap/>
            <w:vAlign w:val="center"/>
            <w:hideMark/>
          </w:tcPr>
          <w:p w14:paraId="5771BDDC"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January</w:t>
            </w:r>
          </w:p>
        </w:tc>
        <w:tc>
          <w:tcPr>
            <w:tcW w:w="835" w:type="dxa"/>
            <w:tcBorders>
              <w:top w:val="nil"/>
              <w:left w:val="nil"/>
              <w:bottom w:val="single" w:sz="8" w:space="0" w:color="auto"/>
              <w:right w:val="single" w:sz="4" w:space="0" w:color="auto"/>
            </w:tcBorders>
            <w:shd w:val="clear" w:color="auto" w:fill="FFFFFF" w:themeFill="background1"/>
            <w:noWrap/>
            <w:vAlign w:val="center"/>
            <w:hideMark/>
          </w:tcPr>
          <w:p w14:paraId="418D8540"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February</w:t>
            </w:r>
          </w:p>
        </w:tc>
        <w:tc>
          <w:tcPr>
            <w:tcW w:w="848" w:type="dxa"/>
            <w:tcBorders>
              <w:top w:val="nil"/>
              <w:left w:val="nil"/>
              <w:bottom w:val="single" w:sz="8" w:space="0" w:color="auto"/>
              <w:right w:val="single" w:sz="8" w:space="0" w:color="auto"/>
            </w:tcBorders>
            <w:shd w:val="clear" w:color="auto" w:fill="FFFFFF" w:themeFill="background1"/>
            <w:noWrap/>
            <w:vAlign w:val="center"/>
            <w:hideMark/>
          </w:tcPr>
          <w:p w14:paraId="6D3DCA67"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March</w:t>
            </w:r>
          </w:p>
        </w:tc>
      </w:tr>
    </w:tbl>
    <w:p w14:paraId="464DD5DF" w14:textId="77777777" w:rsidR="00D37D86" w:rsidRPr="002B164B" w:rsidRDefault="00D37D86" w:rsidP="00D37D86">
      <w:pPr>
        <w:rPr>
          <w:b/>
          <w:bCs/>
        </w:rPr>
      </w:pPr>
      <w:r w:rsidRPr="002B164B">
        <w:rPr>
          <w:noProof/>
        </w:rPr>
        <mc:AlternateContent>
          <mc:Choice Requires="wps">
            <w:drawing>
              <wp:anchor distT="0" distB="0" distL="114300" distR="114300" simplePos="0" relativeHeight="251661312" behindDoc="0" locked="0" layoutInCell="1" allowOverlap="1" wp14:anchorId="7E8A5EDB" wp14:editId="3B0CAEFF">
                <wp:simplePos x="0" y="0"/>
                <wp:positionH relativeFrom="margin">
                  <wp:posOffset>1961616</wp:posOffset>
                </wp:positionH>
                <wp:positionV relativeFrom="paragraph">
                  <wp:posOffset>44049</wp:posOffset>
                </wp:positionV>
                <wp:extent cx="3819525" cy="1085850"/>
                <wp:effectExtent l="0" t="0" r="28575" b="1905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19525" cy="1085850"/>
                        </a:xfrm>
                        <a:prstGeom prst="rect">
                          <a:avLst/>
                        </a:prstGeom>
                        <a:solidFill>
                          <a:sysClr val="window" lastClr="FFFFFF"/>
                        </a:solidFill>
                        <a:ln w="6350">
                          <a:solidFill>
                            <a:prstClr val="black"/>
                          </a:solidFill>
                        </a:ln>
                      </wps:spPr>
                      <wps:txbx>
                        <w:txbxContent>
                          <w:p w14:paraId="62D5E73E" w14:textId="77777777" w:rsidR="00D37D86" w:rsidRPr="00431081" w:rsidRDefault="00D37D86" w:rsidP="00D37D86">
                            <w:pPr>
                              <w:jc w:val="both"/>
                              <w:rPr>
                                <w:rFonts w:asciiTheme="minorHAnsi" w:hAnsiTheme="minorHAnsi" w:cstheme="minorHAnsi"/>
                                <w:sz w:val="18"/>
                                <w:szCs w:val="18"/>
                              </w:rPr>
                            </w:pPr>
                            <w:r>
                              <w:rPr>
                                <w:rFonts w:asciiTheme="minorHAnsi" w:hAnsiTheme="minorHAnsi" w:cstheme="minorHAnsi"/>
                                <w:sz w:val="18"/>
                                <w:szCs w:val="18"/>
                              </w:rPr>
                              <w:t>T</w:t>
                            </w:r>
                            <w:r w:rsidRPr="00431081">
                              <w:rPr>
                                <w:rFonts w:asciiTheme="minorHAnsi" w:hAnsiTheme="minorHAnsi" w:cstheme="minorHAnsi"/>
                                <w:sz w:val="18"/>
                                <w:szCs w:val="18"/>
                              </w:rPr>
                              <w:t xml:space="preserve">able illustrates the measure </w:t>
                            </w:r>
                            <w:r>
                              <w:rPr>
                                <w:rFonts w:asciiTheme="minorHAnsi" w:hAnsiTheme="minorHAnsi" w:cstheme="minorHAnsi"/>
                                <w:sz w:val="18"/>
                                <w:szCs w:val="18"/>
                              </w:rPr>
                              <w:t xml:space="preserve">within </w:t>
                            </w:r>
                            <w:r w:rsidRPr="00431081">
                              <w:rPr>
                                <w:rFonts w:asciiTheme="minorHAnsi" w:hAnsiTheme="minorHAnsi" w:cstheme="minorHAnsi"/>
                                <w:b/>
                                <w:bCs/>
                                <w:sz w:val="18"/>
                                <w:szCs w:val="18"/>
                              </w:rPr>
                              <w:t>Priority OCC 0</w:t>
                            </w:r>
                            <w:r>
                              <w:rPr>
                                <w:rFonts w:asciiTheme="minorHAnsi" w:hAnsiTheme="minorHAnsi" w:cstheme="minorHAnsi"/>
                                <w:b/>
                                <w:bCs/>
                                <w:sz w:val="18"/>
                                <w:szCs w:val="18"/>
                              </w:rPr>
                              <w:t>1</w:t>
                            </w:r>
                            <w:r>
                              <w:rPr>
                                <w:rFonts w:asciiTheme="minorHAnsi" w:hAnsiTheme="minorHAnsi" w:cstheme="minorHAnsi"/>
                                <w:sz w:val="18"/>
                                <w:szCs w:val="18"/>
                              </w:rPr>
                              <w:t xml:space="preserve"> that are </w:t>
                            </w:r>
                            <w:r w:rsidRPr="00431081">
                              <w:rPr>
                                <w:rFonts w:asciiTheme="minorHAnsi" w:hAnsiTheme="minorHAnsi" w:cstheme="minorHAnsi"/>
                                <w:sz w:val="18"/>
                                <w:szCs w:val="18"/>
                              </w:rPr>
                              <w:t>performing under target and the RAG status.</w:t>
                            </w:r>
                          </w:p>
                          <w:tbl>
                            <w:tblPr>
                              <w:tblStyle w:val="TableGrid1"/>
                              <w:tblW w:w="4924" w:type="pct"/>
                              <w:tblLook w:val="04A0" w:firstRow="1" w:lastRow="0" w:firstColumn="1" w:lastColumn="0" w:noHBand="0" w:noVBand="1"/>
                            </w:tblPr>
                            <w:tblGrid>
                              <w:gridCol w:w="3823"/>
                              <w:gridCol w:w="838"/>
                              <w:gridCol w:w="974"/>
                            </w:tblGrid>
                            <w:tr w:rsidR="00D37D86" w:rsidRPr="00431081" w14:paraId="3BF65902" w14:textId="77777777" w:rsidTr="0022450C">
                              <w:tc>
                                <w:tcPr>
                                  <w:tcW w:w="3392" w:type="pct"/>
                                </w:tcPr>
                                <w:p w14:paraId="43152A30" w14:textId="77777777" w:rsidR="00D37D86" w:rsidRPr="007D21C1" w:rsidRDefault="00D37D86" w:rsidP="00DD5E17">
                                  <w:pPr>
                                    <w:spacing w:before="10"/>
                                    <w:jc w:val="both"/>
                                    <w:rPr>
                                      <w:rFonts w:asciiTheme="minorHAnsi" w:hAnsiTheme="minorHAnsi" w:cstheme="minorHAnsi"/>
                                      <w:b/>
                                      <w:bCs/>
                                      <w:sz w:val="20"/>
                                      <w:szCs w:val="20"/>
                                    </w:rPr>
                                  </w:pPr>
                                  <w:r w:rsidRPr="007D21C1">
                                    <w:rPr>
                                      <w:rFonts w:asciiTheme="minorHAnsi" w:hAnsiTheme="minorHAnsi" w:cstheme="minorHAnsi"/>
                                      <w:b/>
                                      <w:bCs/>
                                      <w:sz w:val="20"/>
                                      <w:szCs w:val="20"/>
                                    </w:rPr>
                                    <w:t>Measure:</w:t>
                                  </w:r>
                                  <w:r>
                                    <w:rPr>
                                      <w:rFonts w:asciiTheme="minorHAnsi" w:hAnsiTheme="minorHAnsi" w:cstheme="minorHAnsi"/>
                                      <w:b/>
                                      <w:bCs/>
                                      <w:sz w:val="20"/>
                                      <w:szCs w:val="20"/>
                                    </w:rPr>
                                    <w:t xml:space="preserve"> </w:t>
                                  </w:r>
                                </w:p>
                              </w:tc>
                              <w:tc>
                                <w:tcPr>
                                  <w:tcW w:w="744" w:type="pct"/>
                                  <w:vAlign w:val="center"/>
                                </w:tcPr>
                                <w:p w14:paraId="1E004629" w14:textId="77777777" w:rsidR="00D37D86" w:rsidRPr="007D21C1" w:rsidRDefault="00D37D86" w:rsidP="00DD5E17">
                                  <w:pPr>
                                    <w:spacing w:before="10"/>
                                    <w:rPr>
                                      <w:rFonts w:asciiTheme="minorHAnsi" w:hAnsiTheme="minorHAnsi" w:cstheme="minorHAnsi"/>
                                      <w:b/>
                                      <w:bCs/>
                                      <w:sz w:val="20"/>
                                      <w:szCs w:val="20"/>
                                    </w:rPr>
                                  </w:pPr>
                                  <w:r w:rsidRPr="007D21C1">
                                    <w:rPr>
                                      <w:rFonts w:asciiTheme="minorHAnsi" w:hAnsiTheme="minorHAnsi" w:cstheme="minorHAnsi"/>
                                      <w:b/>
                                      <w:bCs/>
                                      <w:sz w:val="20"/>
                                      <w:szCs w:val="20"/>
                                    </w:rPr>
                                    <w:t>Status:</w:t>
                                  </w:r>
                                </w:p>
                              </w:tc>
                              <w:tc>
                                <w:tcPr>
                                  <w:tcW w:w="864" w:type="pct"/>
                                </w:tcPr>
                                <w:p w14:paraId="0B905AC1" w14:textId="77777777" w:rsidR="00D37D86" w:rsidRPr="007D21C1" w:rsidRDefault="00D37D86" w:rsidP="00DD5E17">
                                  <w:pPr>
                                    <w:spacing w:before="10"/>
                                    <w:rPr>
                                      <w:rFonts w:asciiTheme="minorHAnsi" w:hAnsiTheme="minorHAnsi" w:cstheme="minorHAnsi"/>
                                      <w:b/>
                                      <w:bCs/>
                                      <w:sz w:val="20"/>
                                      <w:szCs w:val="20"/>
                                    </w:rPr>
                                  </w:pPr>
                                  <w:r w:rsidRPr="007D21C1">
                                    <w:rPr>
                                      <w:rFonts w:asciiTheme="minorHAnsi" w:hAnsiTheme="minorHAnsi" w:cstheme="minorHAnsi"/>
                                      <w:b/>
                                      <w:bCs/>
                                      <w:sz w:val="20"/>
                                      <w:szCs w:val="20"/>
                                    </w:rPr>
                                    <w:t>Director:</w:t>
                                  </w:r>
                                </w:p>
                              </w:tc>
                            </w:tr>
                            <w:tr w:rsidR="00D37D86" w:rsidRPr="00431081" w14:paraId="65D3F581" w14:textId="77777777" w:rsidTr="0022450C">
                              <w:tc>
                                <w:tcPr>
                                  <w:tcW w:w="3392" w:type="pct"/>
                                </w:tcPr>
                                <w:p w14:paraId="74C172B9" w14:textId="77777777" w:rsidR="00D37D86" w:rsidRPr="00B21A67" w:rsidRDefault="00D37D86" w:rsidP="00DD5E17">
                                  <w:pPr>
                                    <w:spacing w:before="10"/>
                                    <w:rPr>
                                      <w:rFonts w:asciiTheme="minorHAnsi" w:hAnsiTheme="minorHAnsi" w:cstheme="minorHAnsi"/>
                                      <w:b/>
                                      <w:bCs/>
                                      <w:sz w:val="20"/>
                                      <w:szCs w:val="20"/>
                                    </w:rPr>
                                  </w:pPr>
                                  <w:r w:rsidRPr="00B21A67">
                                    <w:rPr>
                                      <w:rFonts w:asciiTheme="minorHAnsi" w:hAnsiTheme="minorHAnsi" w:cstheme="minorHAnsi"/>
                                      <w:b/>
                                      <w:bCs/>
                                      <w:sz w:val="20"/>
                                      <w:szCs w:val="20"/>
                                    </w:rPr>
                                    <w:t>OCC01.0</w:t>
                                  </w:r>
                                  <w:r>
                                    <w:rPr>
                                      <w:rFonts w:asciiTheme="minorHAnsi" w:hAnsiTheme="minorHAnsi" w:cstheme="minorHAnsi"/>
                                      <w:b/>
                                      <w:bCs/>
                                      <w:sz w:val="20"/>
                                      <w:szCs w:val="20"/>
                                    </w:rPr>
                                    <w:t xml:space="preserve">9: </w:t>
                                  </w:r>
                                  <w:r w:rsidRPr="00302011">
                                    <w:rPr>
                                      <w:rFonts w:asciiTheme="minorHAnsi" w:hAnsiTheme="minorHAnsi" w:cstheme="minorHAnsi"/>
                                      <w:sz w:val="20"/>
                                      <w:szCs w:val="20"/>
                                    </w:rPr>
                                    <w:t xml:space="preserve">Total % of household waste which is reused, </w:t>
                                  </w:r>
                                  <w:proofErr w:type="gramStart"/>
                                  <w:r w:rsidRPr="00302011">
                                    <w:rPr>
                                      <w:rFonts w:asciiTheme="minorHAnsi" w:hAnsiTheme="minorHAnsi" w:cstheme="minorHAnsi"/>
                                      <w:sz w:val="20"/>
                                      <w:szCs w:val="20"/>
                                    </w:rPr>
                                    <w:t>recycled</w:t>
                                  </w:r>
                                  <w:proofErr w:type="gramEnd"/>
                                  <w:r w:rsidRPr="00302011">
                                    <w:rPr>
                                      <w:rFonts w:asciiTheme="minorHAnsi" w:hAnsiTheme="minorHAnsi" w:cstheme="minorHAnsi"/>
                                      <w:sz w:val="20"/>
                                      <w:szCs w:val="20"/>
                                    </w:rPr>
                                    <w:t xml:space="preserve"> or composted</w:t>
                                  </w:r>
                                </w:p>
                              </w:tc>
                              <w:tc>
                                <w:tcPr>
                                  <w:tcW w:w="744" w:type="pct"/>
                                  <w:vAlign w:val="center"/>
                                </w:tcPr>
                                <w:p w14:paraId="3C5B0A9C" w14:textId="77777777" w:rsidR="00D37D86" w:rsidRPr="007D21C1" w:rsidRDefault="00D37D86" w:rsidP="00DD5E17">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864" w:type="pct"/>
                                </w:tcPr>
                                <w:p w14:paraId="0BB2CFA0" w14:textId="77777777" w:rsidR="00D37D86" w:rsidRPr="007D21C1" w:rsidRDefault="00D37D86" w:rsidP="00DD5E17">
                                  <w:pPr>
                                    <w:spacing w:before="10"/>
                                    <w:jc w:val="center"/>
                                    <w:rPr>
                                      <w:rFonts w:asciiTheme="minorHAnsi" w:hAnsiTheme="minorHAnsi" w:cstheme="minorHAnsi"/>
                                      <w:b/>
                                      <w:bCs/>
                                      <w:sz w:val="20"/>
                                      <w:szCs w:val="20"/>
                                    </w:rPr>
                                  </w:pPr>
                                  <w:r>
                                    <w:rPr>
                                      <w:rFonts w:asciiTheme="minorHAnsi" w:hAnsiTheme="minorHAnsi" w:cstheme="minorHAnsi"/>
                                      <w:b/>
                                      <w:bCs/>
                                      <w:sz w:val="20"/>
                                      <w:szCs w:val="20"/>
                                    </w:rPr>
                                    <w:t>Bill Cotton</w:t>
                                  </w:r>
                                </w:p>
                              </w:tc>
                            </w:tr>
                          </w:tbl>
                          <w:p w14:paraId="0F7E418A" w14:textId="77777777" w:rsidR="00D37D86" w:rsidRDefault="00D37D86" w:rsidP="00D37D86">
                            <w:pPr>
                              <w:pStyle w:val="Heading1"/>
                              <w:spacing w:before="157"/>
                              <w:ind w:left="786" w:hanging="786"/>
                              <w:jc w:val="both"/>
                              <w:rPr>
                                <w:b w:val="0"/>
                                <w:bCs w:val="0"/>
                                <w:sz w:val="24"/>
                                <w:szCs w:val="24"/>
                                <w:u w:val="none"/>
                              </w:rPr>
                            </w:pPr>
                          </w:p>
                          <w:p w14:paraId="79A4FF48" w14:textId="77777777" w:rsidR="00D37D86" w:rsidRDefault="00D37D86" w:rsidP="00D37D86">
                            <w:pPr>
                              <w:pStyle w:val="ListParagraph"/>
                              <w:spacing w:before="10"/>
                              <w:ind w:left="426" w:firstLine="0"/>
                              <w:rPr>
                                <w:sz w:val="24"/>
                                <w:szCs w:val="24"/>
                              </w:rPr>
                            </w:pPr>
                          </w:p>
                          <w:p w14:paraId="49E2572E" w14:textId="77777777" w:rsidR="00D37D86" w:rsidRDefault="00D37D86" w:rsidP="00D37D86">
                            <w:pPr>
                              <w:pStyle w:val="ListParagraph"/>
                              <w:spacing w:before="10"/>
                              <w:ind w:left="426" w:firstLine="0"/>
                              <w:rPr>
                                <w:sz w:val="24"/>
                                <w:szCs w:val="24"/>
                              </w:rPr>
                            </w:pPr>
                          </w:p>
                          <w:p w14:paraId="0B375A74" w14:textId="77777777" w:rsidR="00D37D86" w:rsidRDefault="00D37D86" w:rsidP="00D37D86">
                            <w:pPr>
                              <w:pStyle w:val="ListParagraph"/>
                              <w:spacing w:before="10"/>
                              <w:ind w:left="426" w:firstLine="0"/>
                              <w:rPr>
                                <w:sz w:val="24"/>
                                <w:szCs w:val="24"/>
                              </w:rPr>
                            </w:pPr>
                          </w:p>
                          <w:p w14:paraId="6595C657" w14:textId="77777777" w:rsidR="00D37D86" w:rsidRDefault="00D37D86" w:rsidP="00D37D86">
                            <w:pPr>
                              <w:pStyle w:val="ListParagraph"/>
                              <w:spacing w:before="10"/>
                              <w:ind w:left="426" w:firstLine="0"/>
                              <w:rPr>
                                <w:sz w:val="24"/>
                                <w:szCs w:val="24"/>
                              </w:rPr>
                            </w:pPr>
                          </w:p>
                          <w:p w14:paraId="3DE6EC45" w14:textId="77777777" w:rsidR="00D37D86" w:rsidRDefault="00D37D86" w:rsidP="00D37D86"/>
                          <w:p w14:paraId="5F02E5C9" w14:textId="77777777" w:rsidR="00D37D86" w:rsidRDefault="00D37D86" w:rsidP="00D37D86"/>
                          <w:p w14:paraId="0D363E3E" w14:textId="77777777" w:rsidR="00D37D86" w:rsidRDefault="00D37D86" w:rsidP="00D37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A5EDB" id="Text Box 10" o:spid="_x0000_s1028" type="#_x0000_t202" alt="&quot;&quot;" style="position:absolute;margin-left:154.45pt;margin-top:3.45pt;width:300.75pt;height:8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" fillcolor="window" strokeweight=".5pt">
                <v:textbox>
                  <w:txbxContent>
                    <w:p w14:paraId="62D5E73E" w14:textId="77777777" w:rsidR="00D37D86" w:rsidRPr="00431081" w:rsidRDefault="00D37D86" w:rsidP="00D37D86">
                      <w:pPr>
                        <w:jc w:val="both"/>
                        <w:rPr>
                          <w:rFonts w:asciiTheme="minorHAnsi" w:hAnsiTheme="minorHAnsi" w:cstheme="minorHAnsi"/>
                          <w:sz w:val="18"/>
                          <w:szCs w:val="18"/>
                        </w:rPr>
                      </w:pPr>
                      <w:r>
                        <w:rPr>
                          <w:rFonts w:asciiTheme="minorHAnsi" w:hAnsiTheme="minorHAnsi" w:cstheme="minorHAnsi"/>
                          <w:sz w:val="18"/>
                          <w:szCs w:val="18"/>
                        </w:rPr>
                        <w:t>T</w:t>
                      </w:r>
                      <w:r w:rsidRPr="00431081">
                        <w:rPr>
                          <w:rFonts w:asciiTheme="minorHAnsi" w:hAnsiTheme="minorHAnsi" w:cstheme="minorHAnsi"/>
                          <w:sz w:val="18"/>
                          <w:szCs w:val="18"/>
                        </w:rPr>
                        <w:t xml:space="preserve">able illustrates the measure </w:t>
                      </w:r>
                      <w:r>
                        <w:rPr>
                          <w:rFonts w:asciiTheme="minorHAnsi" w:hAnsiTheme="minorHAnsi" w:cstheme="minorHAnsi"/>
                          <w:sz w:val="18"/>
                          <w:szCs w:val="18"/>
                        </w:rPr>
                        <w:t xml:space="preserve">within </w:t>
                      </w:r>
                      <w:r w:rsidRPr="00431081">
                        <w:rPr>
                          <w:rFonts w:asciiTheme="minorHAnsi" w:hAnsiTheme="minorHAnsi" w:cstheme="minorHAnsi"/>
                          <w:b/>
                          <w:bCs/>
                          <w:sz w:val="18"/>
                          <w:szCs w:val="18"/>
                        </w:rPr>
                        <w:t>Priority OCC 0</w:t>
                      </w:r>
                      <w:r>
                        <w:rPr>
                          <w:rFonts w:asciiTheme="minorHAnsi" w:hAnsiTheme="minorHAnsi" w:cstheme="minorHAnsi"/>
                          <w:b/>
                          <w:bCs/>
                          <w:sz w:val="18"/>
                          <w:szCs w:val="18"/>
                        </w:rPr>
                        <w:t>1</w:t>
                      </w:r>
                      <w:r>
                        <w:rPr>
                          <w:rFonts w:asciiTheme="minorHAnsi" w:hAnsiTheme="minorHAnsi" w:cstheme="minorHAnsi"/>
                          <w:sz w:val="18"/>
                          <w:szCs w:val="18"/>
                        </w:rPr>
                        <w:t xml:space="preserve"> that are </w:t>
                      </w:r>
                      <w:r w:rsidRPr="00431081">
                        <w:rPr>
                          <w:rFonts w:asciiTheme="minorHAnsi" w:hAnsiTheme="minorHAnsi" w:cstheme="minorHAnsi"/>
                          <w:sz w:val="18"/>
                          <w:szCs w:val="18"/>
                        </w:rPr>
                        <w:t>performing under target and the RAG status.</w:t>
                      </w:r>
                    </w:p>
                    <w:tbl>
                      <w:tblPr>
                        <w:tblStyle w:val="TableGrid1"/>
                        <w:tblW w:w="4924" w:type="pct"/>
                        <w:tblLook w:val="04A0" w:firstRow="1" w:lastRow="0" w:firstColumn="1" w:lastColumn="0" w:noHBand="0" w:noVBand="1"/>
                      </w:tblPr>
                      <w:tblGrid>
                        <w:gridCol w:w="3823"/>
                        <w:gridCol w:w="838"/>
                        <w:gridCol w:w="974"/>
                      </w:tblGrid>
                      <w:tr w:rsidR="00D37D86" w:rsidRPr="00431081" w14:paraId="3BF65902" w14:textId="77777777" w:rsidTr="0022450C">
                        <w:tc>
                          <w:tcPr>
                            <w:tcW w:w="3392" w:type="pct"/>
                          </w:tcPr>
                          <w:p w14:paraId="43152A30" w14:textId="77777777" w:rsidR="00D37D86" w:rsidRPr="007D21C1" w:rsidRDefault="00D37D86" w:rsidP="00DD5E17">
                            <w:pPr>
                              <w:spacing w:before="10"/>
                              <w:jc w:val="both"/>
                              <w:rPr>
                                <w:rFonts w:asciiTheme="minorHAnsi" w:hAnsiTheme="minorHAnsi" w:cstheme="minorHAnsi"/>
                                <w:b/>
                                <w:bCs/>
                                <w:sz w:val="20"/>
                                <w:szCs w:val="20"/>
                              </w:rPr>
                            </w:pPr>
                            <w:r w:rsidRPr="007D21C1">
                              <w:rPr>
                                <w:rFonts w:asciiTheme="minorHAnsi" w:hAnsiTheme="minorHAnsi" w:cstheme="minorHAnsi"/>
                                <w:b/>
                                <w:bCs/>
                                <w:sz w:val="20"/>
                                <w:szCs w:val="20"/>
                              </w:rPr>
                              <w:t>Measure:</w:t>
                            </w:r>
                            <w:r>
                              <w:rPr>
                                <w:rFonts w:asciiTheme="minorHAnsi" w:hAnsiTheme="minorHAnsi" w:cstheme="minorHAnsi"/>
                                <w:b/>
                                <w:bCs/>
                                <w:sz w:val="20"/>
                                <w:szCs w:val="20"/>
                              </w:rPr>
                              <w:t xml:space="preserve"> </w:t>
                            </w:r>
                          </w:p>
                        </w:tc>
                        <w:tc>
                          <w:tcPr>
                            <w:tcW w:w="744" w:type="pct"/>
                            <w:vAlign w:val="center"/>
                          </w:tcPr>
                          <w:p w14:paraId="1E004629" w14:textId="77777777" w:rsidR="00D37D86" w:rsidRPr="007D21C1" w:rsidRDefault="00D37D86" w:rsidP="00DD5E17">
                            <w:pPr>
                              <w:spacing w:before="10"/>
                              <w:rPr>
                                <w:rFonts w:asciiTheme="minorHAnsi" w:hAnsiTheme="minorHAnsi" w:cstheme="minorHAnsi"/>
                                <w:b/>
                                <w:bCs/>
                                <w:sz w:val="20"/>
                                <w:szCs w:val="20"/>
                              </w:rPr>
                            </w:pPr>
                            <w:r w:rsidRPr="007D21C1">
                              <w:rPr>
                                <w:rFonts w:asciiTheme="minorHAnsi" w:hAnsiTheme="minorHAnsi" w:cstheme="minorHAnsi"/>
                                <w:b/>
                                <w:bCs/>
                                <w:sz w:val="20"/>
                                <w:szCs w:val="20"/>
                              </w:rPr>
                              <w:t>Status:</w:t>
                            </w:r>
                          </w:p>
                        </w:tc>
                        <w:tc>
                          <w:tcPr>
                            <w:tcW w:w="864" w:type="pct"/>
                          </w:tcPr>
                          <w:p w14:paraId="0B905AC1" w14:textId="77777777" w:rsidR="00D37D86" w:rsidRPr="007D21C1" w:rsidRDefault="00D37D86" w:rsidP="00DD5E17">
                            <w:pPr>
                              <w:spacing w:before="10"/>
                              <w:rPr>
                                <w:rFonts w:asciiTheme="minorHAnsi" w:hAnsiTheme="minorHAnsi" w:cstheme="minorHAnsi"/>
                                <w:b/>
                                <w:bCs/>
                                <w:sz w:val="20"/>
                                <w:szCs w:val="20"/>
                              </w:rPr>
                            </w:pPr>
                            <w:r w:rsidRPr="007D21C1">
                              <w:rPr>
                                <w:rFonts w:asciiTheme="minorHAnsi" w:hAnsiTheme="minorHAnsi" w:cstheme="minorHAnsi"/>
                                <w:b/>
                                <w:bCs/>
                                <w:sz w:val="20"/>
                                <w:szCs w:val="20"/>
                              </w:rPr>
                              <w:t>Director:</w:t>
                            </w:r>
                          </w:p>
                        </w:tc>
                      </w:tr>
                      <w:tr w:rsidR="00D37D86" w:rsidRPr="00431081" w14:paraId="65D3F581" w14:textId="77777777" w:rsidTr="0022450C">
                        <w:tc>
                          <w:tcPr>
                            <w:tcW w:w="3392" w:type="pct"/>
                          </w:tcPr>
                          <w:p w14:paraId="74C172B9" w14:textId="77777777" w:rsidR="00D37D86" w:rsidRPr="00B21A67" w:rsidRDefault="00D37D86" w:rsidP="00DD5E17">
                            <w:pPr>
                              <w:spacing w:before="10"/>
                              <w:rPr>
                                <w:rFonts w:asciiTheme="minorHAnsi" w:hAnsiTheme="minorHAnsi" w:cstheme="minorHAnsi"/>
                                <w:b/>
                                <w:bCs/>
                                <w:sz w:val="20"/>
                                <w:szCs w:val="20"/>
                              </w:rPr>
                            </w:pPr>
                            <w:r w:rsidRPr="00B21A67">
                              <w:rPr>
                                <w:rFonts w:asciiTheme="minorHAnsi" w:hAnsiTheme="minorHAnsi" w:cstheme="minorHAnsi"/>
                                <w:b/>
                                <w:bCs/>
                                <w:sz w:val="20"/>
                                <w:szCs w:val="20"/>
                              </w:rPr>
                              <w:t>OCC01.0</w:t>
                            </w:r>
                            <w:r>
                              <w:rPr>
                                <w:rFonts w:asciiTheme="minorHAnsi" w:hAnsiTheme="minorHAnsi" w:cstheme="minorHAnsi"/>
                                <w:b/>
                                <w:bCs/>
                                <w:sz w:val="20"/>
                                <w:szCs w:val="20"/>
                              </w:rPr>
                              <w:t xml:space="preserve">9: </w:t>
                            </w:r>
                            <w:r w:rsidRPr="00302011">
                              <w:rPr>
                                <w:rFonts w:asciiTheme="minorHAnsi" w:hAnsiTheme="minorHAnsi" w:cstheme="minorHAnsi"/>
                                <w:sz w:val="20"/>
                                <w:szCs w:val="20"/>
                              </w:rPr>
                              <w:t xml:space="preserve">Total % of household waste which is reused, </w:t>
                            </w:r>
                            <w:proofErr w:type="gramStart"/>
                            <w:r w:rsidRPr="00302011">
                              <w:rPr>
                                <w:rFonts w:asciiTheme="minorHAnsi" w:hAnsiTheme="minorHAnsi" w:cstheme="minorHAnsi"/>
                                <w:sz w:val="20"/>
                                <w:szCs w:val="20"/>
                              </w:rPr>
                              <w:t>recycled</w:t>
                            </w:r>
                            <w:proofErr w:type="gramEnd"/>
                            <w:r w:rsidRPr="00302011">
                              <w:rPr>
                                <w:rFonts w:asciiTheme="minorHAnsi" w:hAnsiTheme="minorHAnsi" w:cstheme="minorHAnsi"/>
                                <w:sz w:val="20"/>
                                <w:szCs w:val="20"/>
                              </w:rPr>
                              <w:t xml:space="preserve"> or composted</w:t>
                            </w:r>
                          </w:p>
                        </w:tc>
                        <w:tc>
                          <w:tcPr>
                            <w:tcW w:w="744" w:type="pct"/>
                            <w:vAlign w:val="center"/>
                          </w:tcPr>
                          <w:p w14:paraId="3C5B0A9C" w14:textId="77777777" w:rsidR="00D37D86" w:rsidRPr="007D21C1" w:rsidRDefault="00D37D86" w:rsidP="00DD5E17">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864" w:type="pct"/>
                          </w:tcPr>
                          <w:p w14:paraId="0BB2CFA0" w14:textId="77777777" w:rsidR="00D37D86" w:rsidRPr="007D21C1" w:rsidRDefault="00D37D86" w:rsidP="00DD5E17">
                            <w:pPr>
                              <w:spacing w:before="10"/>
                              <w:jc w:val="center"/>
                              <w:rPr>
                                <w:rFonts w:asciiTheme="minorHAnsi" w:hAnsiTheme="minorHAnsi" w:cstheme="minorHAnsi"/>
                                <w:b/>
                                <w:bCs/>
                                <w:sz w:val="20"/>
                                <w:szCs w:val="20"/>
                              </w:rPr>
                            </w:pPr>
                            <w:r>
                              <w:rPr>
                                <w:rFonts w:asciiTheme="minorHAnsi" w:hAnsiTheme="minorHAnsi" w:cstheme="minorHAnsi"/>
                                <w:b/>
                                <w:bCs/>
                                <w:sz w:val="20"/>
                                <w:szCs w:val="20"/>
                              </w:rPr>
                              <w:t>Bill Cotton</w:t>
                            </w:r>
                          </w:p>
                        </w:tc>
                      </w:tr>
                    </w:tbl>
                    <w:p w14:paraId="0F7E418A" w14:textId="77777777" w:rsidR="00D37D86" w:rsidRDefault="00D37D86" w:rsidP="00D37D86">
                      <w:pPr>
                        <w:pStyle w:val="Heading1"/>
                        <w:spacing w:before="157"/>
                        <w:ind w:left="786" w:hanging="786"/>
                        <w:jc w:val="both"/>
                        <w:rPr>
                          <w:b w:val="0"/>
                          <w:bCs w:val="0"/>
                          <w:sz w:val="24"/>
                          <w:szCs w:val="24"/>
                          <w:u w:val="none"/>
                        </w:rPr>
                      </w:pPr>
                    </w:p>
                    <w:p w14:paraId="79A4FF48" w14:textId="77777777" w:rsidR="00D37D86" w:rsidRDefault="00D37D86" w:rsidP="00D37D86">
                      <w:pPr>
                        <w:pStyle w:val="ListParagraph"/>
                        <w:spacing w:before="10"/>
                        <w:ind w:left="426" w:firstLine="0"/>
                        <w:rPr>
                          <w:sz w:val="24"/>
                          <w:szCs w:val="24"/>
                        </w:rPr>
                      </w:pPr>
                    </w:p>
                    <w:p w14:paraId="49E2572E" w14:textId="77777777" w:rsidR="00D37D86" w:rsidRDefault="00D37D86" w:rsidP="00D37D86">
                      <w:pPr>
                        <w:pStyle w:val="ListParagraph"/>
                        <w:spacing w:before="10"/>
                        <w:ind w:left="426" w:firstLine="0"/>
                        <w:rPr>
                          <w:sz w:val="24"/>
                          <w:szCs w:val="24"/>
                        </w:rPr>
                      </w:pPr>
                    </w:p>
                    <w:p w14:paraId="0B375A74" w14:textId="77777777" w:rsidR="00D37D86" w:rsidRDefault="00D37D86" w:rsidP="00D37D86">
                      <w:pPr>
                        <w:pStyle w:val="ListParagraph"/>
                        <w:spacing w:before="10"/>
                        <w:ind w:left="426" w:firstLine="0"/>
                        <w:rPr>
                          <w:sz w:val="24"/>
                          <w:szCs w:val="24"/>
                        </w:rPr>
                      </w:pPr>
                    </w:p>
                    <w:p w14:paraId="6595C657" w14:textId="77777777" w:rsidR="00D37D86" w:rsidRDefault="00D37D86" w:rsidP="00D37D86">
                      <w:pPr>
                        <w:pStyle w:val="ListParagraph"/>
                        <w:spacing w:before="10"/>
                        <w:ind w:left="426" w:firstLine="0"/>
                        <w:rPr>
                          <w:sz w:val="24"/>
                          <w:szCs w:val="24"/>
                        </w:rPr>
                      </w:pPr>
                    </w:p>
                    <w:p w14:paraId="3DE6EC45" w14:textId="77777777" w:rsidR="00D37D86" w:rsidRDefault="00D37D86" w:rsidP="00D37D86"/>
                    <w:p w14:paraId="5F02E5C9" w14:textId="77777777" w:rsidR="00D37D86" w:rsidRDefault="00D37D86" w:rsidP="00D37D86"/>
                    <w:p w14:paraId="0D363E3E" w14:textId="77777777" w:rsidR="00D37D86" w:rsidRDefault="00D37D86" w:rsidP="00D37D86"/>
                  </w:txbxContent>
                </v:textbox>
                <w10:wrap anchorx="margin"/>
              </v:shape>
            </w:pict>
          </mc:Fallback>
        </mc:AlternateContent>
      </w:r>
    </w:p>
    <w:p w14:paraId="3312A481" w14:textId="77777777" w:rsidR="00D37D86" w:rsidRPr="002B164B" w:rsidRDefault="00D37D86" w:rsidP="00D37D86">
      <w:pPr>
        <w:rPr>
          <w:b/>
          <w:bCs/>
        </w:rPr>
      </w:pPr>
    </w:p>
    <w:p w14:paraId="6D3DB031" w14:textId="77777777" w:rsidR="00D37D86" w:rsidRPr="002B164B" w:rsidRDefault="00D37D86" w:rsidP="00D37D86">
      <w:pPr>
        <w:rPr>
          <w:b/>
          <w:bCs/>
        </w:rPr>
      </w:pPr>
    </w:p>
    <w:p w14:paraId="729D4501" w14:textId="77777777" w:rsidR="00D37D86" w:rsidRPr="002B164B" w:rsidRDefault="00D37D86" w:rsidP="00D37D86">
      <w:pPr>
        <w:rPr>
          <w:b/>
          <w:bCs/>
        </w:rPr>
      </w:pPr>
    </w:p>
    <w:p w14:paraId="166D2549" w14:textId="77777777" w:rsidR="00D37D86" w:rsidRPr="002B164B" w:rsidRDefault="00D37D86" w:rsidP="00D37D86">
      <w:pPr>
        <w:rPr>
          <w:b/>
          <w:bCs/>
        </w:rPr>
      </w:pPr>
    </w:p>
    <w:p w14:paraId="743C26FA" w14:textId="77777777" w:rsidR="00D37D86" w:rsidRPr="002B164B" w:rsidRDefault="00D37D86" w:rsidP="00D37D86">
      <w:pPr>
        <w:rPr>
          <w:b/>
          <w:bCs/>
        </w:rPr>
      </w:pPr>
    </w:p>
    <w:p w14:paraId="42B02D45" w14:textId="77777777" w:rsidR="00D37D86" w:rsidRPr="002B164B" w:rsidRDefault="00D37D86" w:rsidP="00D37D86">
      <w:pPr>
        <w:rPr>
          <w:b/>
          <w:bCs/>
        </w:rPr>
      </w:pPr>
    </w:p>
    <w:p w14:paraId="7BC591FF" w14:textId="77777777" w:rsidR="00D37D86" w:rsidRPr="002B164B" w:rsidRDefault="00D37D86" w:rsidP="00D37D86">
      <w:pPr>
        <w:ind w:right="-24"/>
        <w:rPr>
          <w:b/>
          <w:bCs/>
          <w:sz w:val="24"/>
          <w:szCs w:val="24"/>
          <w:u w:val="single"/>
        </w:rPr>
      </w:pPr>
    </w:p>
    <w:p w14:paraId="657ECCFC" w14:textId="77777777" w:rsidR="00D37D86" w:rsidRPr="002B164B" w:rsidRDefault="00D37D86" w:rsidP="00D37D86">
      <w:pPr>
        <w:ind w:left="426"/>
        <w:jc w:val="both"/>
        <w:rPr>
          <w:sz w:val="24"/>
          <w:szCs w:val="24"/>
        </w:rPr>
      </w:pPr>
      <w:r w:rsidRPr="002B164B">
        <w:rPr>
          <w:b/>
          <w:bCs/>
          <w:sz w:val="24"/>
          <w:szCs w:val="24"/>
        </w:rPr>
        <w:t xml:space="preserve">Comments from directorate: </w:t>
      </w:r>
      <w:r w:rsidRPr="002B164B">
        <w:rPr>
          <w:sz w:val="24"/>
          <w:szCs w:val="24"/>
        </w:rPr>
        <w:t xml:space="preserve">This is forecasted end of year position. It is anticipated there will be a reduction in performance due to the dry weather in </w:t>
      </w:r>
      <w:r w:rsidRPr="002B164B">
        <w:rPr>
          <w:sz w:val="24"/>
          <w:szCs w:val="24"/>
        </w:rPr>
        <w:lastRenderedPageBreak/>
        <w:t>recent months causing less garden waste to be received.</w:t>
      </w:r>
    </w:p>
    <w:p w14:paraId="4C8AC85F" w14:textId="77777777" w:rsidR="00D37D86" w:rsidRPr="002B164B" w:rsidRDefault="00D37D86" w:rsidP="00D37D86">
      <w:pPr>
        <w:jc w:val="both"/>
      </w:pPr>
    </w:p>
    <w:tbl>
      <w:tblPr>
        <w:tblStyle w:val="TableGrid"/>
        <w:tblW w:w="8616" w:type="dxa"/>
        <w:tblInd w:w="421" w:type="dxa"/>
        <w:tblLook w:val="04A0" w:firstRow="1" w:lastRow="0" w:firstColumn="1" w:lastColumn="0" w:noHBand="0" w:noVBand="1"/>
      </w:tblPr>
      <w:tblGrid>
        <w:gridCol w:w="1559"/>
        <w:gridCol w:w="7057"/>
      </w:tblGrid>
      <w:tr w:rsidR="00D37D86" w:rsidRPr="002B164B" w:rsidDel="00F069CA" w14:paraId="39EFDB17" w14:textId="77777777" w:rsidTr="00FC0C44">
        <w:trPr>
          <w:trHeight w:val="276"/>
        </w:trPr>
        <w:tc>
          <w:tcPr>
            <w:tcW w:w="1559" w:type="dxa"/>
          </w:tcPr>
          <w:p w14:paraId="0335C2C7" w14:textId="77777777" w:rsidR="00D37D86" w:rsidRPr="002B164B" w:rsidRDefault="00D37D86" w:rsidP="00FC0C44">
            <w:pPr>
              <w:jc w:val="both"/>
              <w:rPr>
                <w:b/>
                <w:bCs/>
                <w:sz w:val="18"/>
                <w:szCs w:val="18"/>
              </w:rPr>
            </w:pPr>
            <w:r w:rsidRPr="002B164B">
              <w:rPr>
                <w:b/>
                <w:bCs/>
                <w:sz w:val="18"/>
                <w:szCs w:val="18"/>
              </w:rPr>
              <w:t>Risk impact</w:t>
            </w:r>
          </w:p>
        </w:tc>
        <w:tc>
          <w:tcPr>
            <w:tcW w:w="7057" w:type="dxa"/>
            <w:shd w:val="clear" w:color="auto" w:fill="auto"/>
          </w:tcPr>
          <w:p w14:paraId="407DECBD" w14:textId="77777777" w:rsidR="00D37D86" w:rsidRPr="002B164B" w:rsidDel="00F069CA" w:rsidRDefault="00D37D86" w:rsidP="00FC0C44">
            <w:pPr>
              <w:jc w:val="both"/>
              <w:rPr>
                <w:color w:val="000000"/>
                <w:sz w:val="18"/>
                <w:szCs w:val="18"/>
              </w:rPr>
            </w:pPr>
            <w:r w:rsidRPr="00DB3E62">
              <w:rPr>
                <w:color w:val="000000"/>
                <w:sz w:val="18"/>
                <w:szCs w:val="18"/>
              </w:rPr>
              <w:t>There is no risk to Service</w:t>
            </w:r>
          </w:p>
        </w:tc>
      </w:tr>
      <w:tr w:rsidR="00D37D86" w:rsidRPr="002B164B" w14:paraId="7715AE3C" w14:textId="77777777" w:rsidTr="00FC0C44">
        <w:trPr>
          <w:trHeight w:val="276"/>
        </w:trPr>
        <w:tc>
          <w:tcPr>
            <w:tcW w:w="1559" w:type="dxa"/>
          </w:tcPr>
          <w:p w14:paraId="41B4D653" w14:textId="77777777" w:rsidR="00D37D86" w:rsidRPr="002B164B" w:rsidRDefault="00D37D86" w:rsidP="00FC0C44">
            <w:pPr>
              <w:jc w:val="both"/>
              <w:rPr>
                <w:b/>
                <w:bCs/>
                <w:sz w:val="18"/>
                <w:szCs w:val="18"/>
              </w:rPr>
            </w:pPr>
            <w:r w:rsidRPr="002B164B">
              <w:rPr>
                <w:b/>
                <w:bCs/>
                <w:sz w:val="18"/>
                <w:szCs w:val="18"/>
              </w:rPr>
              <w:t>Finance impact</w:t>
            </w:r>
          </w:p>
        </w:tc>
        <w:tc>
          <w:tcPr>
            <w:tcW w:w="7057" w:type="dxa"/>
          </w:tcPr>
          <w:p w14:paraId="518F073E" w14:textId="77777777" w:rsidR="00D37D86" w:rsidRPr="002B164B" w:rsidRDefault="00D37D86" w:rsidP="00FC0C44">
            <w:pPr>
              <w:jc w:val="both"/>
              <w:rPr>
                <w:color w:val="FF0000"/>
                <w:sz w:val="18"/>
                <w:szCs w:val="18"/>
              </w:rPr>
            </w:pPr>
            <w:r w:rsidRPr="00DB3E62">
              <w:rPr>
                <w:sz w:val="18"/>
                <w:szCs w:val="18"/>
              </w:rPr>
              <w:t>There is no financial risk to Service</w:t>
            </w:r>
          </w:p>
        </w:tc>
      </w:tr>
    </w:tbl>
    <w:p w14:paraId="15CA3666" w14:textId="77777777" w:rsidR="00D37D86" w:rsidRPr="002B164B" w:rsidRDefault="00D37D86" w:rsidP="00D37D86">
      <w:pPr>
        <w:jc w:val="both"/>
      </w:pPr>
    </w:p>
    <w:p w14:paraId="0995B19D" w14:textId="77777777" w:rsidR="00D37D86" w:rsidRPr="00910DB5" w:rsidRDefault="00D37D86" w:rsidP="00910DB5">
      <w:pPr>
        <w:pStyle w:val="ListParagraph"/>
        <w:numPr>
          <w:ilvl w:val="1"/>
          <w:numId w:val="43"/>
        </w:numPr>
        <w:ind w:left="426"/>
        <w:rPr>
          <w:b/>
          <w:bCs/>
          <w:sz w:val="24"/>
          <w:szCs w:val="24"/>
        </w:rPr>
      </w:pPr>
      <w:r w:rsidRPr="00910DB5">
        <w:rPr>
          <w:b/>
          <w:bCs/>
          <w:sz w:val="24"/>
          <w:szCs w:val="24"/>
        </w:rPr>
        <w:t>Priority OCC04: Support carers and the social care system</w:t>
      </w:r>
    </w:p>
    <w:p w14:paraId="4ECB7D3F" w14:textId="77777777" w:rsidR="00D37D86" w:rsidRPr="002B164B" w:rsidRDefault="00D37D86" w:rsidP="00D37D86">
      <w:pPr>
        <w:ind w:firstLine="426"/>
        <w:rPr>
          <w:sz w:val="24"/>
          <w:szCs w:val="24"/>
        </w:rPr>
      </w:pPr>
    </w:p>
    <w:p w14:paraId="6F90AFFA" w14:textId="77777777" w:rsidR="00D37D86" w:rsidRDefault="00D37D86" w:rsidP="00D37D86">
      <w:pPr>
        <w:ind w:left="426"/>
        <w:rPr>
          <w:sz w:val="24"/>
          <w:szCs w:val="24"/>
        </w:rPr>
      </w:pPr>
      <w:r w:rsidRPr="002B164B">
        <w:rPr>
          <w:sz w:val="24"/>
          <w:szCs w:val="24"/>
        </w:rPr>
        <w:t xml:space="preserve">This priority has 8 monthly measures being reported in July: 3 Amber, 2 Green and 3 monitoring only. </w:t>
      </w:r>
    </w:p>
    <w:p w14:paraId="1CBBFEB6" w14:textId="31163D9F" w:rsidR="00D37D86" w:rsidRPr="002B164B" w:rsidRDefault="0080193A" w:rsidP="00D37D86">
      <w:pPr>
        <w:ind w:left="426"/>
        <w:rPr>
          <w:sz w:val="24"/>
          <w:szCs w:val="24"/>
        </w:rPr>
      </w:pPr>
      <w:r w:rsidRPr="002B164B">
        <w:rPr>
          <w:noProof/>
        </w:rPr>
        <mc:AlternateContent>
          <mc:Choice Requires="wps">
            <w:drawing>
              <wp:anchor distT="0" distB="0" distL="114300" distR="114300" simplePos="0" relativeHeight="251662336" behindDoc="0" locked="0" layoutInCell="1" allowOverlap="1" wp14:anchorId="6E150C08" wp14:editId="70A244D3">
                <wp:simplePos x="0" y="0"/>
                <wp:positionH relativeFrom="margin">
                  <wp:posOffset>1967631</wp:posOffset>
                </wp:positionH>
                <wp:positionV relativeFrom="paragraph">
                  <wp:posOffset>173689</wp:posOffset>
                </wp:positionV>
                <wp:extent cx="3819525" cy="1552575"/>
                <wp:effectExtent l="0" t="0" r="28575" b="2857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19525" cy="1552575"/>
                        </a:xfrm>
                        <a:prstGeom prst="rect">
                          <a:avLst/>
                        </a:prstGeom>
                        <a:solidFill>
                          <a:sysClr val="window" lastClr="FFFFFF"/>
                        </a:solidFill>
                        <a:ln w="6350">
                          <a:solidFill>
                            <a:prstClr val="black"/>
                          </a:solidFill>
                        </a:ln>
                      </wps:spPr>
                      <wps:txbx>
                        <w:txbxContent>
                          <w:p w14:paraId="74FE8B6A" w14:textId="77777777" w:rsidR="00D37D86" w:rsidRPr="00431081" w:rsidRDefault="00D37D86" w:rsidP="00D37D86">
                            <w:pPr>
                              <w:jc w:val="both"/>
                              <w:rPr>
                                <w:rFonts w:asciiTheme="minorHAnsi" w:hAnsiTheme="minorHAnsi" w:cstheme="minorHAnsi"/>
                                <w:sz w:val="18"/>
                                <w:szCs w:val="18"/>
                              </w:rPr>
                            </w:pPr>
                            <w:r>
                              <w:rPr>
                                <w:rFonts w:asciiTheme="minorHAnsi" w:hAnsiTheme="minorHAnsi" w:cstheme="minorHAnsi"/>
                                <w:sz w:val="18"/>
                                <w:szCs w:val="18"/>
                              </w:rPr>
                              <w:t>T</w:t>
                            </w:r>
                            <w:r w:rsidRPr="00431081">
                              <w:rPr>
                                <w:rFonts w:asciiTheme="minorHAnsi" w:hAnsiTheme="minorHAnsi" w:cstheme="minorHAnsi"/>
                                <w:sz w:val="18"/>
                                <w:szCs w:val="18"/>
                              </w:rPr>
                              <w:t xml:space="preserve">able illustrates the measure </w:t>
                            </w:r>
                            <w:r>
                              <w:rPr>
                                <w:rFonts w:asciiTheme="minorHAnsi" w:hAnsiTheme="minorHAnsi" w:cstheme="minorHAnsi"/>
                                <w:sz w:val="18"/>
                                <w:szCs w:val="18"/>
                              </w:rPr>
                              <w:t xml:space="preserve">within </w:t>
                            </w:r>
                            <w:r w:rsidRPr="00431081">
                              <w:rPr>
                                <w:rFonts w:asciiTheme="minorHAnsi" w:hAnsiTheme="minorHAnsi" w:cstheme="minorHAnsi"/>
                                <w:b/>
                                <w:bCs/>
                                <w:sz w:val="18"/>
                                <w:szCs w:val="18"/>
                              </w:rPr>
                              <w:t>Priority OCC 0</w:t>
                            </w:r>
                            <w:r>
                              <w:rPr>
                                <w:rFonts w:asciiTheme="minorHAnsi" w:hAnsiTheme="minorHAnsi" w:cstheme="minorHAnsi"/>
                                <w:b/>
                                <w:bCs/>
                                <w:sz w:val="18"/>
                                <w:szCs w:val="18"/>
                              </w:rPr>
                              <w:t>4</w:t>
                            </w:r>
                            <w:r>
                              <w:rPr>
                                <w:rFonts w:asciiTheme="minorHAnsi" w:hAnsiTheme="minorHAnsi" w:cstheme="minorHAnsi"/>
                                <w:sz w:val="18"/>
                                <w:szCs w:val="18"/>
                              </w:rPr>
                              <w:t xml:space="preserve"> that are </w:t>
                            </w:r>
                            <w:r w:rsidRPr="00431081">
                              <w:rPr>
                                <w:rFonts w:asciiTheme="minorHAnsi" w:hAnsiTheme="minorHAnsi" w:cstheme="minorHAnsi"/>
                                <w:sz w:val="18"/>
                                <w:szCs w:val="18"/>
                              </w:rPr>
                              <w:t>performing under target and the RAG status.</w:t>
                            </w:r>
                          </w:p>
                          <w:tbl>
                            <w:tblPr>
                              <w:tblStyle w:val="TableGrid1"/>
                              <w:tblW w:w="4886" w:type="pct"/>
                              <w:tblLook w:val="04A0" w:firstRow="1" w:lastRow="0" w:firstColumn="1" w:lastColumn="0" w:noHBand="0" w:noVBand="1"/>
                            </w:tblPr>
                            <w:tblGrid>
                              <w:gridCol w:w="3794"/>
                              <w:gridCol w:w="832"/>
                              <w:gridCol w:w="966"/>
                            </w:tblGrid>
                            <w:tr w:rsidR="00D37D86" w:rsidRPr="00431081" w14:paraId="09B3C61F" w14:textId="77777777" w:rsidTr="008817D4">
                              <w:tc>
                                <w:tcPr>
                                  <w:tcW w:w="3392" w:type="pct"/>
                                </w:tcPr>
                                <w:p w14:paraId="643758DE" w14:textId="77777777" w:rsidR="00D37D86" w:rsidRPr="007D21C1" w:rsidRDefault="00D37D86" w:rsidP="00DD5E17">
                                  <w:pPr>
                                    <w:spacing w:before="10"/>
                                    <w:jc w:val="both"/>
                                    <w:rPr>
                                      <w:rFonts w:asciiTheme="minorHAnsi" w:hAnsiTheme="minorHAnsi" w:cstheme="minorHAnsi"/>
                                      <w:b/>
                                      <w:bCs/>
                                      <w:sz w:val="20"/>
                                      <w:szCs w:val="20"/>
                                    </w:rPr>
                                  </w:pPr>
                                  <w:r w:rsidRPr="007D21C1">
                                    <w:rPr>
                                      <w:rFonts w:asciiTheme="minorHAnsi" w:hAnsiTheme="minorHAnsi" w:cstheme="minorHAnsi"/>
                                      <w:b/>
                                      <w:bCs/>
                                      <w:sz w:val="20"/>
                                      <w:szCs w:val="20"/>
                                    </w:rPr>
                                    <w:t>Measure:</w:t>
                                  </w:r>
                                  <w:r>
                                    <w:rPr>
                                      <w:rFonts w:asciiTheme="minorHAnsi" w:hAnsiTheme="minorHAnsi" w:cstheme="minorHAnsi"/>
                                      <w:b/>
                                      <w:bCs/>
                                      <w:sz w:val="20"/>
                                      <w:szCs w:val="20"/>
                                    </w:rPr>
                                    <w:t xml:space="preserve"> </w:t>
                                  </w:r>
                                </w:p>
                              </w:tc>
                              <w:tc>
                                <w:tcPr>
                                  <w:tcW w:w="744" w:type="pct"/>
                                  <w:vAlign w:val="center"/>
                                </w:tcPr>
                                <w:p w14:paraId="3A592420" w14:textId="77777777" w:rsidR="00D37D86" w:rsidRPr="007D21C1" w:rsidRDefault="00D37D86" w:rsidP="00DD5E17">
                                  <w:pPr>
                                    <w:spacing w:before="10"/>
                                    <w:rPr>
                                      <w:rFonts w:asciiTheme="minorHAnsi" w:hAnsiTheme="minorHAnsi" w:cstheme="minorHAnsi"/>
                                      <w:b/>
                                      <w:bCs/>
                                      <w:sz w:val="20"/>
                                      <w:szCs w:val="20"/>
                                    </w:rPr>
                                  </w:pPr>
                                  <w:r w:rsidRPr="007D21C1">
                                    <w:rPr>
                                      <w:rFonts w:asciiTheme="minorHAnsi" w:hAnsiTheme="minorHAnsi" w:cstheme="minorHAnsi"/>
                                      <w:b/>
                                      <w:bCs/>
                                      <w:sz w:val="20"/>
                                      <w:szCs w:val="20"/>
                                    </w:rPr>
                                    <w:t>Status:</w:t>
                                  </w:r>
                                </w:p>
                              </w:tc>
                              <w:tc>
                                <w:tcPr>
                                  <w:tcW w:w="864" w:type="pct"/>
                                </w:tcPr>
                                <w:p w14:paraId="08CBB38C" w14:textId="77777777" w:rsidR="00D37D86" w:rsidRPr="007D21C1" w:rsidRDefault="00D37D86" w:rsidP="00DD5E17">
                                  <w:pPr>
                                    <w:spacing w:before="10"/>
                                    <w:rPr>
                                      <w:rFonts w:asciiTheme="minorHAnsi" w:hAnsiTheme="minorHAnsi" w:cstheme="minorHAnsi"/>
                                      <w:b/>
                                      <w:bCs/>
                                      <w:sz w:val="20"/>
                                      <w:szCs w:val="20"/>
                                    </w:rPr>
                                  </w:pPr>
                                  <w:r w:rsidRPr="007D21C1">
                                    <w:rPr>
                                      <w:rFonts w:asciiTheme="minorHAnsi" w:hAnsiTheme="minorHAnsi" w:cstheme="minorHAnsi"/>
                                      <w:b/>
                                      <w:bCs/>
                                      <w:sz w:val="20"/>
                                      <w:szCs w:val="20"/>
                                    </w:rPr>
                                    <w:t>Director:</w:t>
                                  </w:r>
                                </w:p>
                              </w:tc>
                            </w:tr>
                            <w:tr w:rsidR="00D37D86" w:rsidRPr="00431081" w14:paraId="0C7D6691" w14:textId="77777777" w:rsidTr="008817D4">
                              <w:tc>
                                <w:tcPr>
                                  <w:tcW w:w="3392" w:type="pct"/>
                                  <w:vAlign w:val="center"/>
                                </w:tcPr>
                                <w:p w14:paraId="50C458F2" w14:textId="77777777" w:rsidR="00D37D86" w:rsidRPr="0022450C" w:rsidRDefault="00D37D86" w:rsidP="00244F50">
                                  <w:pPr>
                                    <w:spacing w:before="10"/>
                                    <w:rPr>
                                      <w:rFonts w:asciiTheme="minorHAnsi" w:hAnsiTheme="minorHAnsi" w:cstheme="minorHAnsi"/>
                                      <w:sz w:val="20"/>
                                      <w:szCs w:val="20"/>
                                    </w:rPr>
                                  </w:pPr>
                                  <w:r w:rsidRPr="00CE27CE">
                                    <w:rPr>
                                      <w:rFonts w:asciiTheme="minorHAnsi" w:hAnsiTheme="minorHAnsi" w:cstheme="minorHAnsi"/>
                                      <w:b/>
                                      <w:bCs/>
                                      <w:sz w:val="20"/>
                                      <w:szCs w:val="20"/>
                                    </w:rPr>
                                    <w:t xml:space="preserve"> OCC04.04</w:t>
                                  </w:r>
                                  <w:r w:rsidRPr="00CE27CE">
                                    <w:rPr>
                                      <w:rFonts w:asciiTheme="minorHAnsi" w:hAnsiTheme="minorHAnsi" w:cstheme="minorHAnsi"/>
                                      <w:sz w:val="20"/>
                                      <w:szCs w:val="20"/>
                                    </w:rPr>
                                    <w:t>:</w:t>
                                  </w:r>
                                  <w:r>
                                    <w:rPr>
                                      <w:rFonts w:asciiTheme="minorHAnsi" w:hAnsiTheme="minorHAnsi" w:cstheme="minorHAnsi"/>
                                      <w:sz w:val="20"/>
                                      <w:szCs w:val="20"/>
                                    </w:rPr>
                                    <w:t xml:space="preserve"> </w:t>
                                  </w:r>
                                  <w:r w:rsidRPr="00CE27CE">
                                    <w:rPr>
                                      <w:rFonts w:asciiTheme="minorHAnsi" w:hAnsiTheme="minorHAnsi" w:cstheme="minorHAnsi"/>
                                      <w:sz w:val="20"/>
                                      <w:szCs w:val="20"/>
                                    </w:rPr>
                                    <w:t>Percentage of residents aged under 65 receiving ASC who manage their care by using direct payment</w:t>
                                  </w:r>
                                </w:p>
                              </w:tc>
                              <w:tc>
                                <w:tcPr>
                                  <w:tcW w:w="744" w:type="pct"/>
                                  <w:vAlign w:val="center"/>
                                </w:tcPr>
                                <w:p w14:paraId="179512E9" w14:textId="77777777" w:rsidR="00D37D86" w:rsidRPr="007D21C1" w:rsidRDefault="00D37D86" w:rsidP="00244F50">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864" w:type="pct"/>
                                  <w:vAlign w:val="center"/>
                                </w:tcPr>
                                <w:p w14:paraId="4D0323B3" w14:textId="77777777" w:rsidR="00D37D86" w:rsidRPr="007D21C1" w:rsidRDefault="00D37D86" w:rsidP="00244F50">
                                  <w:pPr>
                                    <w:spacing w:before="10"/>
                                    <w:jc w:val="center"/>
                                    <w:rPr>
                                      <w:rFonts w:asciiTheme="minorHAnsi" w:hAnsiTheme="minorHAnsi" w:cstheme="minorHAnsi"/>
                                      <w:b/>
                                      <w:bCs/>
                                      <w:sz w:val="20"/>
                                      <w:szCs w:val="20"/>
                                    </w:rPr>
                                  </w:pPr>
                                  <w:r w:rsidRPr="00A749C5">
                                    <w:rPr>
                                      <w:rFonts w:asciiTheme="minorHAnsi" w:hAnsiTheme="minorHAnsi" w:cstheme="minorHAnsi"/>
                                      <w:b/>
                                      <w:bCs/>
                                      <w:sz w:val="20"/>
                                      <w:szCs w:val="20"/>
                                    </w:rPr>
                                    <w:t>Karen Fuller</w:t>
                                  </w:r>
                                </w:p>
                              </w:tc>
                            </w:tr>
                            <w:tr w:rsidR="00D37D86" w:rsidRPr="00431081" w14:paraId="6F3F7239" w14:textId="77777777" w:rsidTr="008817D4">
                              <w:tc>
                                <w:tcPr>
                                  <w:tcW w:w="3392" w:type="pct"/>
                                  <w:vAlign w:val="center"/>
                                </w:tcPr>
                                <w:p w14:paraId="41D488AA" w14:textId="77777777" w:rsidR="00D37D86" w:rsidRPr="00CE27CE" w:rsidRDefault="00D37D86" w:rsidP="00244F50">
                                  <w:pPr>
                                    <w:spacing w:before="10"/>
                                    <w:rPr>
                                      <w:rFonts w:asciiTheme="minorHAnsi" w:hAnsiTheme="minorHAnsi" w:cstheme="minorHAnsi"/>
                                      <w:b/>
                                      <w:bCs/>
                                      <w:sz w:val="20"/>
                                      <w:szCs w:val="20"/>
                                    </w:rPr>
                                  </w:pPr>
                                  <w:r w:rsidRPr="00CE27CE">
                                    <w:rPr>
                                      <w:rFonts w:asciiTheme="minorHAnsi" w:hAnsiTheme="minorHAnsi" w:cstheme="minorHAnsi"/>
                                      <w:b/>
                                      <w:bCs/>
                                      <w:sz w:val="20"/>
                                      <w:szCs w:val="20"/>
                                    </w:rPr>
                                    <w:t xml:space="preserve"> OCC04.05</w:t>
                                  </w:r>
                                  <w:r w:rsidRPr="00CE27CE">
                                    <w:rPr>
                                      <w:rFonts w:asciiTheme="minorHAnsi" w:hAnsiTheme="minorHAnsi" w:cstheme="minorHAnsi"/>
                                      <w:sz w:val="20"/>
                                      <w:szCs w:val="20"/>
                                    </w:rPr>
                                    <w:t>: Percentage of older residents who receive long term care and are supposed to live in their own home</w:t>
                                  </w:r>
                                </w:p>
                              </w:tc>
                              <w:tc>
                                <w:tcPr>
                                  <w:tcW w:w="744" w:type="pct"/>
                                  <w:vAlign w:val="center"/>
                                </w:tcPr>
                                <w:p w14:paraId="118BC03F" w14:textId="77777777" w:rsidR="00D37D86" w:rsidRPr="00AA75E1" w:rsidRDefault="00D37D86" w:rsidP="00244F50">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864" w:type="pct"/>
                                  <w:vAlign w:val="center"/>
                                </w:tcPr>
                                <w:p w14:paraId="395AE63D" w14:textId="77777777" w:rsidR="00D37D86" w:rsidRPr="00A749C5" w:rsidRDefault="00D37D86" w:rsidP="00244F50">
                                  <w:pPr>
                                    <w:spacing w:before="10"/>
                                    <w:jc w:val="center"/>
                                    <w:rPr>
                                      <w:rFonts w:asciiTheme="minorHAnsi" w:hAnsiTheme="minorHAnsi" w:cstheme="minorHAnsi"/>
                                      <w:b/>
                                      <w:bCs/>
                                      <w:sz w:val="20"/>
                                      <w:szCs w:val="20"/>
                                    </w:rPr>
                                  </w:pPr>
                                  <w:r w:rsidRPr="00A749C5">
                                    <w:rPr>
                                      <w:rFonts w:asciiTheme="minorHAnsi" w:hAnsiTheme="minorHAnsi" w:cstheme="minorHAnsi"/>
                                      <w:b/>
                                      <w:bCs/>
                                      <w:sz w:val="20"/>
                                      <w:szCs w:val="20"/>
                                    </w:rPr>
                                    <w:t>Karen Fuller</w:t>
                                  </w:r>
                                </w:p>
                              </w:tc>
                            </w:tr>
                          </w:tbl>
                          <w:p w14:paraId="700DDA28" w14:textId="77777777" w:rsidR="00D37D86" w:rsidRDefault="00D37D86" w:rsidP="00D37D86">
                            <w:pPr>
                              <w:pStyle w:val="Heading1"/>
                              <w:spacing w:before="157"/>
                              <w:ind w:left="786" w:hanging="786"/>
                              <w:jc w:val="both"/>
                              <w:rPr>
                                <w:b w:val="0"/>
                                <w:bCs w:val="0"/>
                                <w:sz w:val="24"/>
                                <w:szCs w:val="24"/>
                                <w:u w:val="none"/>
                              </w:rPr>
                            </w:pPr>
                          </w:p>
                          <w:p w14:paraId="5E772EA2" w14:textId="77777777" w:rsidR="00D37D86" w:rsidRDefault="00D37D86" w:rsidP="00D37D86">
                            <w:pPr>
                              <w:pStyle w:val="ListParagraph"/>
                              <w:spacing w:before="10"/>
                              <w:ind w:left="426" w:firstLine="0"/>
                              <w:rPr>
                                <w:sz w:val="24"/>
                                <w:szCs w:val="24"/>
                              </w:rPr>
                            </w:pPr>
                          </w:p>
                          <w:p w14:paraId="1D44F1AB" w14:textId="77777777" w:rsidR="00D37D86" w:rsidRDefault="00D37D86" w:rsidP="00D37D86">
                            <w:pPr>
                              <w:pStyle w:val="ListParagraph"/>
                              <w:spacing w:before="10"/>
                              <w:ind w:left="426" w:firstLine="0"/>
                              <w:rPr>
                                <w:sz w:val="24"/>
                                <w:szCs w:val="24"/>
                              </w:rPr>
                            </w:pPr>
                          </w:p>
                          <w:p w14:paraId="78F7E76A" w14:textId="77777777" w:rsidR="00D37D86" w:rsidRDefault="00D37D86" w:rsidP="00D37D86">
                            <w:pPr>
                              <w:pStyle w:val="ListParagraph"/>
                              <w:spacing w:before="10"/>
                              <w:ind w:left="426" w:firstLine="0"/>
                              <w:rPr>
                                <w:sz w:val="24"/>
                                <w:szCs w:val="24"/>
                              </w:rPr>
                            </w:pPr>
                          </w:p>
                          <w:p w14:paraId="5975B37C" w14:textId="77777777" w:rsidR="00D37D86" w:rsidRDefault="00D37D86" w:rsidP="00D37D86">
                            <w:pPr>
                              <w:pStyle w:val="ListParagraph"/>
                              <w:spacing w:before="10"/>
                              <w:ind w:left="426" w:firstLine="0"/>
                              <w:rPr>
                                <w:sz w:val="24"/>
                                <w:szCs w:val="24"/>
                              </w:rPr>
                            </w:pPr>
                          </w:p>
                          <w:p w14:paraId="13737E22" w14:textId="77777777" w:rsidR="00D37D86" w:rsidRDefault="00D37D86" w:rsidP="00D37D86"/>
                          <w:p w14:paraId="50BA88E9" w14:textId="77777777" w:rsidR="00D37D86" w:rsidRDefault="00D37D86" w:rsidP="00D37D86"/>
                          <w:p w14:paraId="1F233314" w14:textId="77777777" w:rsidR="00D37D86" w:rsidRDefault="00D37D86" w:rsidP="00D37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50C08" id="Text Box 4" o:spid="_x0000_s1029" type="#_x0000_t202" alt="&quot;&quot;" style="position:absolute;left:0;text-align:left;margin-left:154.95pt;margin-top:13.7pt;width:300.75pt;height:12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" fillcolor="window" strokeweight=".5pt">
                <v:textbox>
                  <w:txbxContent>
                    <w:p w14:paraId="74FE8B6A" w14:textId="77777777" w:rsidR="00D37D86" w:rsidRPr="00431081" w:rsidRDefault="00D37D86" w:rsidP="00D37D86">
                      <w:pPr>
                        <w:jc w:val="both"/>
                        <w:rPr>
                          <w:rFonts w:asciiTheme="minorHAnsi" w:hAnsiTheme="minorHAnsi" w:cstheme="minorHAnsi"/>
                          <w:sz w:val="18"/>
                          <w:szCs w:val="18"/>
                        </w:rPr>
                      </w:pPr>
                      <w:r>
                        <w:rPr>
                          <w:rFonts w:asciiTheme="minorHAnsi" w:hAnsiTheme="minorHAnsi" w:cstheme="minorHAnsi"/>
                          <w:sz w:val="18"/>
                          <w:szCs w:val="18"/>
                        </w:rPr>
                        <w:t>T</w:t>
                      </w:r>
                      <w:r w:rsidRPr="00431081">
                        <w:rPr>
                          <w:rFonts w:asciiTheme="minorHAnsi" w:hAnsiTheme="minorHAnsi" w:cstheme="minorHAnsi"/>
                          <w:sz w:val="18"/>
                          <w:szCs w:val="18"/>
                        </w:rPr>
                        <w:t xml:space="preserve">able illustrates the measure </w:t>
                      </w:r>
                      <w:r>
                        <w:rPr>
                          <w:rFonts w:asciiTheme="minorHAnsi" w:hAnsiTheme="minorHAnsi" w:cstheme="minorHAnsi"/>
                          <w:sz w:val="18"/>
                          <w:szCs w:val="18"/>
                        </w:rPr>
                        <w:t xml:space="preserve">within </w:t>
                      </w:r>
                      <w:r w:rsidRPr="00431081">
                        <w:rPr>
                          <w:rFonts w:asciiTheme="minorHAnsi" w:hAnsiTheme="minorHAnsi" w:cstheme="minorHAnsi"/>
                          <w:b/>
                          <w:bCs/>
                          <w:sz w:val="18"/>
                          <w:szCs w:val="18"/>
                        </w:rPr>
                        <w:t>Priority OCC 0</w:t>
                      </w:r>
                      <w:r>
                        <w:rPr>
                          <w:rFonts w:asciiTheme="minorHAnsi" w:hAnsiTheme="minorHAnsi" w:cstheme="minorHAnsi"/>
                          <w:b/>
                          <w:bCs/>
                          <w:sz w:val="18"/>
                          <w:szCs w:val="18"/>
                        </w:rPr>
                        <w:t>4</w:t>
                      </w:r>
                      <w:r>
                        <w:rPr>
                          <w:rFonts w:asciiTheme="minorHAnsi" w:hAnsiTheme="minorHAnsi" w:cstheme="minorHAnsi"/>
                          <w:sz w:val="18"/>
                          <w:szCs w:val="18"/>
                        </w:rPr>
                        <w:t xml:space="preserve"> that are </w:t>
                      </w:r>
                      <w:r w:rsidRPr="00431081">
                        <w:rPr>
                          <w:rFonts w:asciiTheme="minorHAnsi" w:hAnsiTheme="minorHAnsi" w:cstheme="minorHAnsi"/>
                          <w:sz w:val="18"/>
                          <w:szCs w:val="18"/>
                        </w:rPr>
                        <w:t>performing under target and the RAG status.</w:t>
                      </w:r>
                    </w:p>
                    <w:tbl>
                      <w:tblPr>
                        <w:tblStyle w:val="TableGrid1"/>
                        <w:tblW w:w="4886" w:type="pct"/>
                        <w:tblLook w:val="04A0" w:firstRow="1" w:lastRow="0" w:firstColumn="1" w:lastColumn="0" w:noHBand="0" w:noVBand="1"/>
                      </w:tblPr>
                      <w:tblGrid>
                        <w:gridCol w:w="3794"/>
                        <w:gridCol w:w="832"/>
                        <w:gridCol w:w="966"/>
                      </w:tblGrid>
                      <w:tr w:rsidR="00D37D86" w:rsidRPr="00431081" w14:paraId="09B3C61F" w14:textId="77777777" w:rsidTr="008817D4">
                        <w:tc>
                          <w:tcPr>
                            <w:tcW w:w="3392" w:type="pct"/>
                          </w:tcPr>
                          <w:p w14:paraId="643758DE" w14:textId="77777777" w:rsidR="00D37D86" w:rsidRPr="007D21C1" w:rsidRDefault="00D37D86" w:rsidP="00DD5E17">
                            <w:pPr>
                              <w:spacing w:before="10"/>
                              <w:jc w:val="both"/>
                              <w:rPr>
                                <w:rFonts w:asciiTheme="minorHAnsi" w:hAnsiTheme="minorHAnsi" w:cstheme="minorHAnsi"/>
                                <w:b/>
                                <w:bCs/>
                                <w:sz w:val="20"/>
                                <w:szCs w:val="20"/>
                              </w:rPr>
                            </w:pPr>
                            <w:r w:rsidRPr="007D21C1">
                              <w:rPr>
                                <w:rFonts w:asciiTheme="minorHAnsi" w:hAnsiTheme="minorHAnsi" w:cstheme="minorHAnsi"/>
                                <w:b/>
                                <w:bCs/>
                                <w:sz w:val="20"/>
                                <w:szCs w:val="20"/>
                              </w:rPr>
                              <w:t>Measure:</w:t>
                            </w:r>
                            <w:r>
                              <w:rPr>
                                <w:rFonts w:asciiTheme="minorHAnsi" w:hAnsiTheme="minorHAnsi" w:cstheme="minorHAnsi"/>
                                <w:b/>
                                <w:bCs/>
                                <w:sz w:val="20"/>
                                <w:szCs w:val="20"/>
                              </w:rPr>
                              <w:t xml:space="preserve"> </w:t>
                            </w:r>
                          </w:p>
                        </w:tc>
                        <w:tc>
                          <w:tcPr>
                            <w:tcW w:w="744" w:type="pct"/>
                            <w:vAlign w:val="center"/>
                          </w:tcPr>
                          <w:p w14:paraId="3A592420" w14:textId="77777777" w:rsidR="00D37D86" w:rsidRPr="007D21C1" w:rsidRDefault="00D37D86" w:rsidP="00DD5E17">
                            <w:pPr>
                              <w:spacing w:before="10"/>
                              <w:rPr>
                                <w:rFonts w:asciiTheme="minorHAnsi" w:hAnsiTheme="minorHAnsi" w:cstheme="minorHAnsi"/>
                                <w:b/>
                                <w:bCs/>
                                <w:sz w:val="20"/>
                                <w:szCs w:val="20"/>
                              </w:rPr>
                            </w:pPr>
                            <w:r w:rsidRPr="007D21C1">
                              <w:rPr>
                                <w:rFonts w:asciiTheme="minorHAnsi" w:hAnsiTheme="minorHAnsi" w:cstheme="minorHAnsi"/>
                                <w:b/>
                                <w:bCs/>
                                <w:sz w:val="20"/>
                                <w:szCs w:val="20"/>
                              </w:rPr>
                              <w:t>Status:</w:t>
                            </w:r>
                          </w:p>
                        </w:tc>
                        <w:tc>
                          <w:tcPr>
                            <w:tcW w:w="864" w:type="pct"/>
                          </w:tcPr>
                          <w:p w14:paraId="08CBB38C" w14:textId="77777777" w:rsidR="00D37D86" w:rsidRPr="007D21C1" w:rsidRDefault="00D37D86" w:rsidP="00DD5E17">
                            <w:pPr>
                              <w:spacing w:before="10"/>
                              <w:rPr>
                                <w:rFonts w:asciiTheme="minorHAnsi" w:hAnsiTheme="minorHAnsi" w:cstheme="minorHAnsi"/>
                                <w:b/>
                                <w:bCs/>
                                <w:sz w:val="20"/>
                                <w:szCs w:val="20"/>
                              </w:rPr>
                            </w:pPr>
                            <w:r w:rsidRPr="007D21C1">
                              <w:rPr>
                                <w:rFonts w:asciiTheme="minorHAnsi" w:hAnsiTheme="minorHAnsi" w:cstheme="minorHAnsi"/>
                                <w:b/>
                                <w:bCs/>
                                <w:sz w:val="20"/>
                                <w:szCs w:val="20"/>
                              </w:rPr>
                              <w:t>Director:</w:t>
                            </w:r>
                          </w:p>
                        </w:tc>
                      </w:tr>
                      <w:tr w:rsidR="00D37D86" w:rsidRPr="00431081" w14:paraId="0C7D6691" w14:textId="77777777" w:rsidTr="008817D4">
                        <w:tc>
                          <w:tcPr>
                            <w:tcW w:w="3392" w:type="pct"/>
                            <w:vAlign w:val="center"/>
                          </w:tcPr>
                          <w:p w14:paraId="50C458F2" w14:textId="77777777" w:rsidR="00D37D86" w:rsidRPr="0022450C" w:rsidRDefault="00D37D86" w:rsidP="00244F50">
                            <w:pPr>
                              <w:spacing w:before="10"/>
                              <w:rPr>
                                <w:rFonts w:asciiTheme="minorHAnsi" w:hAnsiTheme="minorHAnsi" w:cstheme="minorHAnsi"/>
                                <w:sz w:val="20"/>
                                <w:szCs w:val="20"/>
                              </w:rPr>
                            </w:pPr>
                            <w:r w:rsidRPr="00CE27CE">
                              <w:rPr>
                                <w:rFonts w:asciiTheme="minorHAnsi" w:hAnsiTheme="minorHAnsi" w:cstheme="minorHAnsi"/>
                                <w:b/>
                                <w:bCs/>
                                <w:sz w:val="20"/>
                                <w:szCs w:val="20"/>
                              </w:rPr>
                              <w:t xml:space="preserve"> OCC04.04</w:t>
                            </w:r>
                            <w:r w:rsidRPr="00CE27CE">
                              <w:rPr>
                                <w:rFonts w:asciiTheme="minorHAnsi" w:hAnsiTheme="minorHAnsi" w:cstheme="minorHAnsi"/>
                                <w:sz w:val="20"/>
                                <w:szCs w:val="20"/>
                              </w:rPr>
                              <w:t>:</w:t>
                            </w:r>
                            <w:r>
                              <w:rPr>
                                <w:rFonts w:asciiTheme="minorHAnsi" w:hAnsiTheme="minorHAnsi" w:cstheme="minorHAnsi"/>
                                <w:sz w:val="20"/>
                                <w:szCs w:val="20"/>
                              </w:rPr>
                              <w:t xml:space="preserve"> </w:t>
                            </w:r>
                            <w:r w:rsidRPr="00CE27CE">
                              <w:rPr>
                                <w:rFonts w:asciiTheme="minorHAnsi" w:hAnsiTheme="minorHAnsi" w:cstheme="minorHAnsi"/>
                                <w:sz w:val="20"/>
                                <w:szCs w:val="20"/>
                              </w:rPr>
                              <w:t>Percentage of residents aged under 65 receiving ASC who manage their care by using direct payment</w:t>
                            </w:r>
                          </w:p>
                        </w:tc>
                        <w:tc>
                          <w:tcPr>
                            <w:tcW w:w="744" w:type="pct"/>
                            <w:vAlign w:val="center"/>
                          </w:tcPr>
                          <w:p w14:paraId="179512E9" w14:textId="77777777" w:rsidR="00D37D86" w:rsidRPr="007D21C1" w:rsidRDefault="00D37D86" w:rsidP="00244F50">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864" w:type="pct"/>
                            <w:vAlign w:val="center"/>
                          </w:tcPr>
                          <w:p w14:paraId="4D0323B3" w14:textId="77777777" w:rsidR="00D37D86" w:rsidRPr="007D21C1" w:rsidRDefault="00D37D86" w:rsidP="00244F50">
                            <w:pPr>
                              <w:spacing w:before="10"/>
                              <w:jc w:val="center"/>
                              <w:rPr>
                                <w:rFonts w:asciiTheme="minorHAnsi" w:hAnsiTheme="minorHAnsi" w:cstheme="minorHAnsi"/>
                                <w:b/>
                                <w:bCs/>
                                <w:sz w:val="20"/>
                                <w:szCs w:val="20"/>
                              </w:rPr>
                            </w:pPr>
                            <w:r w:rsidRPr="00A749C5">
                              <w:rPr>
                                <w:rFonts w:asciiTheme="minorHAnsi" w:hAnsiTheme="minorHAnsi" w:cstheme="minorHAnsi"/>
                                <w:b/>
                                <w:bCs/>
                                <w:sz w:val="20"/>
                                <w:szCs w:val="20"/>
                              </w:rPr>
                              <w:t>Karen Fuller</w:t>
                            </w:r>
                          </w:p>
                        </w:tc>
                      </w:tr>
                      <w:tr w:rsidR="00D37D86" w:rsidRPr="00431081" w14:paraId="6F3F7239" w14:textId="77777777" w:rsidTr="008817D4">
                        <w:tc>
                          <w:tcPr>
                            <w:tcW w:w="3392" w:type="pct"/>
                            <w:vAlign w:val="center"/>
                          </w:tcPr>
                          <w:p w14:paraId="41D488AA" w14:textId="77777777" w:rsidR="00D37D86" w:rsidRPr="00CE27CE" w:rsidRDefault="00D37D86" w:rsidP="00244F50">
                            <w:pPr>
                              <w:spacing w:before="10"/>
                              <w:rPr>
                                <w:rFonts w:asciiTheme="minorHAnsi" w:hAnsiTheme="minorHAnsi" w:cstheme="minorHAnsi"/>
                                <w:b/>
                                <w:bCs/>
                                <w:sz w:val="20"/>
                                <w:szCs w:val="20"/>
                              </w:rPr>
                            </w:pPr>
                            <w:r w:rsidRPr="00CE27CE">
                              <w:rPr>
                                <w:rFonts w:asciiTheme="minorHAnsi" w:hAnsiTheme="minorHAnsi" w:cstheme="minorHAnsi"/>
                                <w:b/>
                                <w:bCs/>
                                <w:sz w:val="20"/>
                                <w:szCs w:val="20"/>
                              </w:rPr>
                              <w:t xml:space="preserve"> OCC04.05</w:t>
                            </w:r>
                            <w:r w:rsidRPr="00CE27CE">
                              <w:rPr>
                                <w:rFonts w:asciiTheme="minorHAnsi" w:hAnsiTheme="minorHAnsi" w:cstheme="minorHAnsi"/>
                                <w:sz w:val="20"/>
                                <w:szCs w:val="20"/>
                              </w:rPr>
                              <w:t>: Percentage of older residents who receive long term care and are supposed to live in their own home</w:t>
                            </w:r>
                          </w:p>
                        </w:tc>
                        <w:tc>
                          <w:tcPr>
                            <w:tcW w:w="744" w:type="pct"/>
                            <w:vAlign w:val="center"/>
                          </w:tcPr>
                          <w:p w14:paraId="118BC03F" w14:textId="77777777" w:rsidR="00D37D86" w:rsidRPr="00AA75E1" w:rsidRDefault="00D37D86" w:rsidP="00244F50">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864" w:type="pct"/>
                            <w:vAlign w:val="center"/>
                          </w:tcPr>
                          <w:p w14:paraId="395AE63D" w14:textId="77777777" w:rsidR="00D37D86" w:rsidRPr="00A749C5" w:rsidRDefault="00D37D86" w:rsidP="00244F50">
                            <w:pPr>
                              <w:spacing w:before="10"/>
                              <w:jc w:val="center"/>
                              <w:rPr>
                                <w:rFonts w:asciiTheme="minorHAnsi" w:hAnsiTheme="minorHAnsi" w:cstheme="minorHAnsi"/>
                                <w:b/>
                                <w:bCs/>
                                <w:sz w:val="20"/>
                                <w:szCs w:val="20"/>
                              </w:rPr>
                            </w:pPr>
                            <w:r w:rsidRPr="00A749C5">
                              <w:rPr>
                                <w:rFonts w:asciiTheme="minorHAnsi" w:hAnsiTheme="minorHAnsi" w:cstheme="minorHAnsi"/>
                                <w:b/>
                                <w:bCs/>
                                <w:sz w:val="20"/>
                                <w:szCs w:val="20"/>
                              </w:rPr>
                              <w:t>Karen Fuller</w:t>
                            </w:r>
                          </w:p>
                        </w:tc>
                      </w:tr>
                    </w:tbl>
                    <w:p w14:paraId="700DDA28" w14:textId="77777777" w:rsidR="00D37D86" w:rsidRDefault="00D37D86" w:rsidP="00D37D86">
                      <w:pPr>
                        <w:pStyle w:val="Heading1"/>
                        <w:spacing w:before="157"/>
                        <w:ind w:left="786" w:hanging="786"/>
                        <w:jc w:val="both"/>
                        <w:rPr>
                          <w:b w:val="0"/>
                          <w:bCs w:val="0"/>
                          <w:sz w:val="24"/>
                          <w:szCs w:val="24"/>
                          <w:u w:val="none"/>
                        </w:rPr>
                      </w:pPr>
                    </w:p>
                    <w:p w14:paraId="5E772EA2" w14:textId="77777777" w:rsidR="00D37D86" w:rsidRDefault="00D37D86" w:rsidP="00D37D86">
                      <w:pPr>
                        <w:pStyle w:val="ListParagraph"/>
                        <w:spacing w:before="10"/>
                        <w:ind w:left="426" w:firstLine="0"/>
                        <w:rPr>
                          <w:sz w:val="24"/>
                          <w:szCs w:val="24"/>
                        </w:rPr>
                      </w:pPr>
                    </w:p>
                    <w:p w14:paraId="1D44F1AB" w14:textId="77777777" w:rsidR="00D37D86" w:rsidRDefault="00D37D86" w:rsidP="00D37D86">
                      <w:pPr>
                        <w:pStyle w:val="ListParagraph"/>
                        <w:spacing w:before="10"/>
                        <w:ind w:left="426" w:firstLine="0"/>
                        <w:rPr>
                          <w:sz w:val="24"/>
                          <w:szCs w:val="24"/>
                        </w:rPr>
                      </w:pPr>
                    </w:p>
                    <w:p w14:paraId="78F7E76A" w14:textId="77777777" w:rsidR="00D37D86" w:rsidRDefault="00D37D86" w:rsidP="00D37D86">
                      <w:pPr>
                        <w:pStyle w:val="ListParagraph"/>
                        <w:spacing w:before="10"/>
                        <w:ind w:left="426" w:firstLine="0"/>
                        <w:rPr>
                          <w:sz w:val="24"/>
                          <w:szCs w:val="24"/>
                        </w:rPr>
                      </w:pPr>
                    </w:p>
                    <w:p w14:paraId="5975B37C" w14:textId="77777777" w:rsidR="00D37D86" w:rsidRDefault="00D37D86" w:rsidP="00D37D86">
                      <w:pPr>
                        <w:pStyle w:val="ListParagraph"/>
                        <w:spacing w:before="10"/>
                        <w:ind w:left="426" w:firstLine="0"/>
                        <w:rPr>
                          <w:sz w:val="24"/>
                          <w:szCs w:val="24"/>
                        </w:rPr>
                      </w:pPr>
                    </w:p>
                    <w:p w14:paraId="13737E22" w14:textId="77777777" w:rsidR="00D37D86" w:rsidRDefault="00D37D86" w:rsidP="00D37D86"/>
                    <w:p w14:paraId="50BA88E9" w14:textId="77777777" w:rsidR="00D37D86" w:rsidRDefault="00D37D86" w:rsidP="00D37D86"/>
                    <w:p w14:paraId="1F233314" w14:textId="77777777" w:rsidR="00D37D86" w:rsidRDefault="00D37D86" w:rsidP="00D37D86"/>
                  </w:txbxContent>
                </v:textbox>
                <w10:wrap anchorx="margin"/>
              </v:shape>
            </w:pict>
          </mc:Fallback>
        </mc:AlternateContent>
      </w:r>
    </w:p>
    <w:tbl>
      <w:tblPr>
        <w:tblpPr w:leftFromText="180" w:rightFromText="180" w:vertAnchor="text" w:tblpY="1"/>
        <w:tblOverlap w:val="never"/>
        <w:tblW w:w="2827" w:type="dxa"/>
        <w:tblLook w:val="04A0" w:firstRow="1" w:lastRow="0" w:firstColumn="1" w:lastColumn="0" w:noHBand="0" w:noVBand="1"/>
      </w:tblPr>
      <w:tblGrid>
        <w:gridCol w:w="857"/>
        <w:gridCol w:w="1047"/>
        <w:gridCol w:w="1097"/>
      </w:tblGrid>
      <w:tr w:rsidR="00D37D86" w:rsidRPr="002B164B" w14:paraId="45D06418" w14:textId="77777777" w:rsidTr="00FC0C44">
        <w:trPr>
          <w:trHeight w:val="454"/>
        </w:trPr>
        <w:tc>
          <w:tcPr>
            <w:tcW w:w="282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274D60" w14:textId="77777777" w:rsidR="00D37D86" w:rsidRPr="002B164B" w:rsidRDefault="00D37D86" w:rsidP="00FC0C44">
            <w:pPr>
              <w:widowControl/>
              <w:autoSpaceDE/>
              <w:autoSpaceDN/>
              <w:rPr>
                <w:rFonts w:eastAsia="Times New Roman"/>
                <w:b/>
                <w:bCs/>
                <w:color w:val="000000"/>
                <w:sz w:val="18"/>
                <w:szCs w:val="18"/>
                <w:lang w:eastAsia="en-GB"/>
              </w:rPr>
            </w:pPr>
            <w:r w:rsidRPr="002B164B">
              <w:rPr>
                <w:rFonts w:eastAsia="Times New Roman"/>
                <w:b/>
                <w:bCs/>
                <w:color w:val="000000"/>
                <w:sz w:val="18"/>
                <w:szCs w:val="18"/>
                <w:lang w:eastAsia="en-GB"/>
              </w:rPr>
              <w:t>Priority OCC04 overall performance:</w:t>
            </w:r>
          </w:p>
        </w:tc>
      </w:tr>
      <w:tr w:rsidR="00D37D86" w:rsidRPr="002B164B" w14:paraId="2CCE2BEA" w14:textId="77777777" w:rsidTr="00FC0C44">
        <w:trPr>
          <w:trHeight w:val="290"/>
        </w:trPr>
        <w:tc>
          <w:tcPr>
            <w:tcW w:w="814" w:type="dxa"/>
            <w:tcBorders>
              <w:top w:val="nil"/>
              <w:left w:val="single" w:sz="8" w:space="0" w:color="auto"/>
              <w:bottom w:val="single" w:sz="4" w:space="0" w:color="auto"/>
              <w:right w:val="single" w:sz="4" w:space="0" w:color="auto"/>
            </w:tcBorders>
            <w:shd w:val="clear" w:color="auto" w:fill="FFC000"/>
            <w:noWrap/>
            <w:vAlign w:val="center"/>
            <w:hideMark/>
          </w:tcPr>
          <w:p w14:paraId="669CCF3F"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April</w:t>
            </w:r>
          </w:p>
        </w:tc>
        <w:tc>
          <w:tcPr>
            <w:tcW w:w="989" w:type="dxa"/>
            <w:tcBorders>
              <w:top w:val="nil"/>
              <w:left w:val="nil"/>
              <w:bottom w:val="single" w:sz="4" w:space="0" w:color="auto"/>
              <w:right w:val="single" w:sz="4" w:space="0" w:color="auto"/>
            </w:tcBorders>
            <w:shd w:val="clear" w:color="auto" w:fill="FFC000"/>
            <w:noWrap/>
            <w:vAlign w:val="center"/>
            <w:hideMark/>
          </w:tcPr>
          <w:p w14:paraId="28C79E9F"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May</w:t>
            </w:r>
          </w:p>
        </w:tc>
        <w:tc>
          <w:tcPr>
            <w:tcW w:w="1024" w:type="dxa"/>
            <w:tcBorders>
              <w:top w:val="nil"/>
              <w:left w:val="nil"/>
              <w:bottom w:val="single" w:sz="4" w:space="0" w:color="auto"/>
              <w:right w:val="single" w:sz="8" w:space="0" w:color="auto"/>
            </w:tcBorders>
            <w:shd w:val="clear" w:color="auto" w:fill="FFC000"/>
            <w:noWrap/>
            <w:vAlign w:val="center"/>
            <w:hideMark/>
          </w:tcPr>
          <w:p w14:paraId="0D1D0179"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June</w:t>
            </w:r>
          </w:p>
        </w:tc>
      </w:tr>
      <w:tr w:rsidR="00D37D86" w:rsidRPr="002B164B" w14:paraId="57B2B2F5" w14:textId="77777777" w:rsidTr="00FC0C44">
        <w:trPr>
          <w:trHeight w:val="305"/>
        </w:trPr>
        <w:tc>
          <w:tcPr>
            <w:tcW w:w="814" w:type="dxa"/>
            <w:tcBorders>
              <w:top w:val="nil"/>
              <w:left w:val="single" w:sz="8" w:space="0" w:color="auto"/>
              <w:bottom w:val="single" w:sz="4" w:space="0" w:color="auto"/>
              <w:right w:val="single" w:sz="4" w:space="0" w:color="auto"/>
            </w:tcBorders>
            <w:shd w:val="clear" w:color="auto" w:fill="FFC000"/>
            <w:noWrap/>
            <w:vAlign w:val="center"/>
            <w:hideMark/>
          </w:tcPr>
          <w:p w14:paraId="7C77893E" w14:textId="77777777" w:rsidR="00D37D86" w:rsidRPr="002B164B" w:rsidRDefault="00D37D86" w:rsidP="00FC0C44">
            <w:pPr>
              <w:widowControl/>
              <w:autoSpaceDE/>
              <w:autoSpaceDN/>
              <w:jc w:val="center"/>
              <w:rPr>
                <w:rFonts w:eastAsia="Times New Roman"/>
                <w:sz w:val="18"/>
                <w:szCs w:val="18"/>
                <w:lang w:eastAsia="en-GB"/>
              </w:rPr>
            </w:pPr>
            <w:r w:rsidRPr="002B164B">
              <w:rPr>
                <w:rFonts w:eastAsia="Times New Roman"/>
                <w:sz w:val="18"/>
                <w:szCs w:val="18"/>
                <w:lang w:eastAsia="en-GB"/>
              </w:rPr>
              <w:t>July</w:t>
            </w:r>
          </w:p>
        </w:tc>
        <w:tc>
          <w:tcPr>
            <w:tcW w:w="989" w:type="dxa"/>
            <w:tcBorders>
              <w:top w:val="nil"/>
              <w:left w:val="nil"/>
              <w:bottom w:val="single" w:sz="4" w:space="0" w:color="auto"/>
              <w:right w:val="single" w:sz="4" w:space="0" w:color="auto"/>
            </w:tcBorders>
            <w:shd w:val="clear" w:color="auto" w:fill="FFFFFF" w:themeFill="background1"/>
            <w:noWrap/>
            <w:vAlign w:val="center"/>
            <w:hideMark/>
          </w:tcPr>
          <w:p w14:paraId="10D91C8B"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August</w:t>
            </w:r>
          </w:p>
        </w:tc>
        <w:tc>
          <w:tcPr>
            <w:tcW w:w="1024" w:type="dxa"/>
            <w:tcBorders>
              <w:top w:val="nil"/>
              <w:left w:val="nil"/>
              <w:bottom w:val="single" w:sz="4" w:space="0" w:color="auto"/>
              <w:right w:val="single" w:sz="8" w:space="0" w:color="auto"/>
            </w:tcBorders>
            <w:shd w:val="clear" w:color="auto" w:fill="FFFFFF" w:themeFill="background1"/>
            <w:noWrap/>
            <w:vAlign w:val="center"/>
            <w:hideMark/>
          </w:tcPr>
          <w:p w14:paraId="7428AE46"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September</w:t>
            </w:r>
          </w:p>
        </w:tc>
      </w:tr>
      <w:tr w:rsidR="00D37D86" w:rsidRPr="002B164B" w14:paraId="5FB5F1DB" w14:textId="77777777" w:rsidTr="00FC0C44">
        <w:trPr>
          <w:trHeight w:val="295"/>
        </w:trPr>
        <w:tc>
          <w:tcPr>
            <w:tcW w:w="814"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D8840D5"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October</w:t>
            </w:r>
          </w:p>
        </w:tc>
        <w:tc>
          <w:tcPr>
            <w:tcW w:w="989" w:type="dxa"/>
            <w:tcBorders>
              <w:top w:val="nil"/>
              <w:left w:val="nil"/>
              <w:bottom w:val="single" w:sz="4" w:space="0" w:color="auto"/>
              <w:right w:val="single" w:sz="4" w:space="0" w:color="auto"/>
            </w:tcBorders>
            <w:shd w:val="clear" w:color="auto" w:fill="FFFFFF" w:themeFill="background1"/>
            <w:noWrap/>
            <w:vAlign w:val="center"/>
            <w:hideMark/>
          </w:tcPr>
          <w:p w14:paraId="6F2C37CB"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November</w:t>
            </w:r>
          </w:p>
        </w:tc>
        <w:tc>
          <w:tcPr>
            <w:tcW w:w="1024" w:type="dxa"/>
            <w:tcBorders>
              <w:top w:val="nil"/>
              <w:left w:val="nil"/>
              <w:bottom w:val="single" w:sz="4" w:space="0" w:color="auto"/>
              <w:right w:val="single" w:sz="8" w:space="0" w:color="auto"/>
            </w:tcBorders>
            <w:shd w:val="clear" w:color="auto" w:fill="FFFFFF" w:themeFill="background1"/>
            <w:noWrap/>
            <w:vAlign w:val="center"/>
            <w:hideMark/>
          </w:tcPr>
          <w:p w14:paraId="0E654FE0"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December</w:t>
            </w:r>
          </w:p>
        </w:tc>
      </w:tr>
      <w:tr w:rsidR="00D37D86" w:rsidRPr="002B164B" w14:paraId="40991028" w14:textId="77777777" w:rsidTr="00FC0C44">
        <w:trPr>
          <w:trHeight w:val="298"/>
        </w:trPr>
        <w:tc>
          <w:tcPr>
            <w:tcW w:w="814" w:type="dxa"/>
            <w:tcBorders>
              <w:top w:val="nil"/>
              <w:left w:val="single" w:sz="8" w:space="0" w:color="auto"/>
              <w:bottom w:val="single" w:sz="8" w:space="0" w:color="auto"/>
              <w:right w:val="single" w:sz="4" w:space="0" w:color="auto"/>
            </w:tcBorders>
            <w:shd w:val="clear" w:color="auto" w:fill="FFFFFF" w:themeFill="background1"/>
            <w:noWrap/>
            <w:vAlign w:val="center"/>
            <w:hideMark/>
          </w:tcPr>
          <w:p w14:paraId="620C4236"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January</w:t>
            </w:r>
          </w:p>
        </w:tc>
        <w:tc>
          <w:tcPr>
            <w:tcW w:w="989" w:type="dxa"/>
            <w:tcBorders>
              <w:top w:val="nil"/>
              <w:left w:val="nil"/>
              <w:bottom w:val="single" w:sz="8" w:space="0" w:color="auto"/>
              <w:right w:val="single" w:sz="4" w:space="0" w:color="auto"/>
            </w:tcBorders>
            <w:shd w:val="clear" w:color="auto" w:fill="FFFFFF" w:themeFill="background1"/>
            <w:noWrap/>
            <w:vAlign w:val="center"/>
            <w:hideMark/>
          </w:tcPr>
          <w:p w14:paraId="0B5501CA"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February</w:t>
            </w:r>
          </w:p>
        </w:tc>
        <w:tc>
          <w:tcPr>
            <w:tcW w:w="1024" w:type="dxa"/>
            <w:tcBorders>
              <w:top w:val="nil"/>
              <w:left w:val="nil"/>
              <w:bottom w:val="single" w:sz="8" w:space="0" w:color="auto"/>
              <w:right w:val="single" w:sz="8" w:space="0" w:color="auto"/>
            </w:tcBorders>
            <w:shd w:val="clear" w:color="auto" w:fill="FFFFFF" w:themeFill="background1"/>
            <w:noWrap/>
            <w:vAlign w:val="center"/>
            <w:hideMark/>
          </w:tcPr>
          <w:p w14:paraId="573252A3"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March</w:t>
            </w:r>
          </w:p>
        </w:tc>
      </w:tr>
    </w:tbl>
    <w:p w14:paraId="4B0D994F" w14:textId="6A03DBDB" w:rsidR="00D37D86" w:rsidRPr="002B164B" w:rsidRDefault="00D37D86" w:rsidP="00D37D86">
      <w:pPr>
        <w:ind w:left="426"/>
        <w:rPr>
          <w:sz w:val="24"/>
          <w:szCs w:val="24"/>
        </w:rPr>
      </w:pPr>
    </w:p>
    <w:p w14:paraId="63BF502D" w14:textId="77777777" w:rsidR="00D37D86" w:rsidRPr="002B164B" w:rsidRDefault="00D37D86" w:rsidP="00D37D86"/>
    <w:p w14:paraId="3D73BE71" w14:textId="77777777" w:rsidR="00D37D86" w:rsidRPr="002B164B" w:rsidRDefault="00D37D86" w:rsidP="00D37D86">
      <w:pPr>
        <w:rPr>
          <w:sz w:val="24"/>
          <w:szCs w:val="24"/>
        </w:rPr>
      </w:pPr>
    </w:p>
    <w:p w14:paraId="1C5DC4B4" w14:textId="77777777" w:rsidR="00D37D86" w:rsidRPr="002B164B" w:rsidRDefault="00D37D86" w:rsidP="00D37D86">
      <w:pPr>
        <w:rPr>
          <w:sz w:val="24"/>
          <w:szCs w:val="24"/>
        </w:rPr>
      </w:pPr>
    </w:p>
    <w:p w14:paraId="544FE416" w14:textId="77777777" w:rsidR="00D37D86" w:rsidRPr="002B164B" w:rsidRDefault="00D37D86" w:rsidP="00D37D86">
      <w:pPr>
        <w:rPr>
          <w:sz w:val="24"/>
          <w:szCs w:val="24"/>
        </w:rPr>
      </w:pPr>
    </w:p>
    <w:p w14:paraId="17EE10C3" w14:textId="77777777" w:rsidR="00D37D86" w:rsidRPr="002B164B" w:rsidRDefault="00D37D86" w:rsidP="00D37D86">
      <w:pPr>
        <w:rPr>
          <w:sz w:val="24"/>
          <w:szCs w:val="24"/>
        </w:rPr>
      </w:pPr>
    </w:p>
    <w:p w14:paraId="2305CA7B" w14:textId="77777777" w:rsidR="00D37D86" w:rsidRPr="002B164B" w:rsidRDefault="00D37D86" w:rsidP="00D37D86">
      <w:pPr>
        <w:spacing w:before="10"/>
        <w:rPr>
          <w:sz w:val="24"/>
          <w:szCs w:val="24"/>
        </w:rPr>
      </w:pPr>
    </w:p>
    <w:p w14:paraId="303588A8" w14:textId="77777777" w:rsidR="00D37D86" w:rsidRPr="002B164B" w:rsidRDefault="00D37D86" w:rsidP="00D37D86">
      <w:pPr>
        <w:spacing w:before="10"/>
        <w:rPr>
          <w:sz w:val="24"/>
          <w:szCs w:val="24"/>
        </w:rPr>
      </w:pPr>
    </w:p>
    <w:p w14:paraId="10C862CF" w14:textId="577956E8" w:rsidR="00D37D86" w:rsidRDefault="00D37D86" w:rsidP="00D37D86">
      <w:pPr>
        <w:spacing w:before="10"/>
        <w:rPr>
          <w:sz w:val="24"/>
          <w:szCs w:val="24"/>
        </w:rPr>
      </w:pPr>
    </w:p>
    <w:p w14:paraId="6507EF3A" w14:textId="77777777" w:rsidR="00433C06" w:rsidRPr="002B164B" w:rsidRDefault="00433C06" w:rsidP="00D37D86">
      <w:pPr>
        <w:spacing w:before="10"/>
        <w:rPr>
          <w:sz w:val="24"/>
          <w:szCs w:val="24"/>
        </w:rPr>
      </w:pPr>
    </w:p>
    <w:p w14:paraId="72836781" w14:textId="77777777" w:rsidR="00D37D86" w:rsidRPr="002B164B" w:rsidRDefault="00D37D86" w:rsidP="00D37D86">
      <w:pPr>
        <w:pStyle w:val="BodyText"/>
        <w:spacing w:before="10"/>
        <w:ind w:left="426"/>
        <w:jc w:val="both"/>
        <w:rPr>
          <w:b/>
          <w:bCs/>
        </w:rPr>
      </w:pPr>
      <w:r w:rsidRPr="002B164B">
        <w:rPr>
          <w:b/>
          <w:bCs/>
          <w:u w:val="single"/>
        </w:rPr>
        <w:t>Comments from directorate:</w:t>
      </w:r>
      <w:r w:rsidRPr="002B164B">
        <w:rPr>
          <w:b/>
          <w:bCs/>
        </w:rPr>
        <w:t xml:space="preserve"> </w:t>
      </w:r>
    </w:p>
    <w:p w14:paraId="3626A491" w14:textId="77777777" w:rsidR="00D37D86" w:rsidRPr="002B164B" w:rsidRDefault="00D37D86" w:rsidP="00D37D86">
      <w:pPr>
        <w:pStyle w:val="BodyText"/>
        <w:spacing w:before="10"/>
        <w:ind w:left="426"/>
        <w:jc w:val="both"/>
      </w:pPr>
      <w:r w:rsidRPr="002B164B">
        <w:rPr>
          <w:b/>
          <w:bCs/>
        </w:rPr>
        <w:t>OCC04.04:</w:t>
      </w:r>
      <w:r w:rsidRPr="002B164B">
        <w:t xml:space="preserve"> Where people are supported in long term care in their own home, a direct payment provides people with more choice and control over their care as they purchase it directly.</w:t>
      </w:r>
    </w:p>
    <w:p w14:paraId="03842D50" w14:textId="77777777" w:rsidR="00D37D86" w:rsidRPr="002B164B" w:rsidRDefault="00D37D86" w:rsidP="00D37D86">
      <w:pPr>
        <w:pStyle w:val="BodyText"/>
        <w:spacing w:before="10"/>
        <w:ind w:left="426"/>
        <w:jc w:val="both"/>
      </w:pPr>
      <w:r w:rsidRPr="002B164B">
        <w:t>39.3% of adults of a working age receive their care via a direct payment. This is marginally better than the national average (38%). Performance continues to improve month on month. A new Direct Payment Model was implemented in April 2021. As the Direct Payment Advice Team develops, we would expect to see the trend increasing again. We are developing a strategic plan for further development of the Personal Assistance Market (where many people spend</w:t>
      </w:r>
      <w:r>
        <w:t xml:space="preserve"> </w:t>
      </w:r>
      <w:r w:rsidRPr="002B164B">
        <w:t>their direct payment) including training opportunities</w:t>
      </w:r>
      <w:r>
        <w:t>.</w:t>
      </w:r>
    </w:p>
    <w:p w14:paraId="00CB195A" w14:textId="77777777" w:rsidR="00D37D86" w:rsidRPr="002B164B" w:rsidRDefault="00D37D86" w:rsidP="00D37D86">
      <w:pPr>
        <w:pStyle w:val="BodyText"/>
        <w:spacing w:before="10"/>
        <w:ind w:left="426"/>
        <w:jc w:val="both"/>
      </w:pPr>
      <w:r w:rsidRPr="002B164B">
        <w:rPr>
          <w:b/>
          <w:bCs/>
        </w:rPr>
        <w:t>OCC04.05:</w:t>
      </w:r>
      <w:r w:rsidRPr="002B164B">
        <w:t xml:space="preserve"> The proportion of older people who are supported, who live in their own homes is 59.5% </w:t>
      </w:r>
      <w:r>
        <w:t>(</w:t>
      </w:r>
      <w:r w:rsidRPr="002B164B">
        <w:t>against a target of 60%). It is up 0.2% from the start of the year, but down on last month. People prefer where possible to live in their own home and we continue to deliver services such as home care and extra care housing to make this possible</w:t>
      </w:r>
    </w:p>
    <w:p w14:paraId="0A984985" w14:textId="77777777" w:rsidR="00D37D86" w:rsidRPr="002B164B" w:rsidRDefault="00D37D86" w:rsidP="00D37D86">
      <w:pPr>
        <w:pStyle w:val="BodyText"/>
        <w:spacing w:before="10"/>
        <w:jc w:val="both"/>
        <w:rPr>
          <w:color w:val="FF0000"/>
          <w:sz w:val="22"/>
          <w:szCs w:val="22"/>
        </w:rPr>
      </w:pPr>
    </w:p>
    <w:tbl>
      <w:tblPr>
        <w:tblStyle w:val="TableGrid"/>
        <w:tblW w:w="8501" w:type="dxa"/>
        <w:tblInd w:w="421" w:type="dxa"/>
        <w:tblLook w:val="04A0" w:firstRow="1" w:lastRow="0" w:firstColumn="1" w:lastColumn="0" w:noHBand="0" w:noVBand="1"/>
      </w:tblPr>
      <w:tblGrid>
        <w:gridCol w:w="1122"/>
        <w:gridCol w:w="7379"/>
      </w:tblGrid>
      <w:tr w:rsidR="00D37D86" w:rsidRPr="002B164B" w14:paraId="05A2C53E" w14:textId="77777777" w:rsidTr="00FC0C44">
        <w:trPr>
          <w:trHeight w:val="274"/>
        </w:trPr>
        <w:tc>
          <w:tcPr>
            <w:tcW w:w="1122" w:type="dxa"/>
          </w:tcPr>
          <w:p w14:paraId="0F493329" w14:textId="77777777" w:rsidR="00D37D86" w:rsidRPr="00021453" w:rsidRDefault="00D37D86" w:rsidP="00FC0C44">
            <w:pPr>
              <w:jc w:val="both"/>
              <w:rPr>
                <w:b/>
                <w:bCs/>
                <w:sz w:val="20"/>
                <w:szCs w:val="20"/>
              </w:rPr>
            </w:pPr>
            <w:r w:rsidRPr="00021453">
              <w:rPr>
                <w:b/>
                <w:bCs/>
                <w:sz w:val="20"/>
                <w:szCs w:val="20"/>
              </w:rPr>
              <w:t>Risk impact</w:t>
            </w:r>
          </w:p>
        </w:tc>
        <w:tc>
          <w:tcPr>
            <w:tcW w:w="7379" w:type="dxa"/>
          </w:tcPr>
          <w:p w14:paraId="063C6196" w14:textId="77777777" w:rsidR="00D37D86" w:rsidRPr="002B164B" w:rsidRDefault="00D37D86" w:rsidP="00FC0C44">
            <w:pPr>
              <w:jc w:val="both"/>
              <w:rPr>
                <w:b/>
                <w:bCs/>
                <w:sz w:val="20"/>
                <w:szCs w:val="20"/>
              </w:rPr>
            </w:pPr>
            <w:r w:rsidRPr="002B164B">
              <w:rPr>
                <w:b/>
                <w:bCs/>
                <w:sz w:val="20"/>
                <w:szCs w:val="20"/>
              </w:rPr>
              <w:t>OCC04.04:</w:t>
            </w:r>
            <w:r w:rsidRPr="002B164B">
              <w:rPr>
                <w:sz w:val="20"/>
                <w:szCs w:val="20"/>
              </w:rPr>
              <w:t xml:space="preserve"> The figure remains above the national average, however direct payments increase people's choice and control, so a falling level of direct payments may lead to reduced satisfaction and may put additional pressures on other services such as home care availability.</w:t>
            </w:r>
          </w:p>
          <w:p w14:paraId="55785D5E" w14:textId="77777777" w:rsidR="00D37D86" w:rsidRPr="002B164B" w:rsidRDefault="00D37D86" w:rsidP="00FC0C44">
            <w:pPr>
              <w:pStyle w:val="BodyText"/>
              <w:spacing w:before="10"/>
              <w:jc w:val="both"/>
              <w:rPr>
                <w:sz w:val="22"/>
                <w:szCs w:val="22"/>
              </w:rPr>
            </w:pPr>
            <w:r w:rsidRPr="002B164B">
              <w:rPr>
                <w:b/>
                <w:bCs/>
                <w:sz w:val="20"/>
                <w:szCs w:val="20"/>
              </w:rPr>
              <w:t>OCC04.05:</w:t>
            </w:r>
            <w:r w:rsidRPr="002B164B">
              <w:rPr>
                <w:sz w:val="20"/>
                <w:szCs w:val="20"/>
              </w:rPr>
              <w:t xml:space="preserve"> People prefer where possible to live in their own home and we continue to deliver services such as home care and extra care housing to make this possible, however the proportion of older people supported by adult social care I their own home is below the national average.</w:t>
            </w:r>
          </w:p>
        </w:tc>
      </w:tr>
      <w:tr w:rsidR="00D37D86" w:rsidRPr="002B164B" w14:paraId="061AD52F" w14:textId="77777777" w:rsidTr="00FC0C44">
        <w:trPr>
          <w:trHeight w:val="557"/>
        </w:trPr>
        <w:tc>
          <w:tcPr>
            <w:tcW w:w="1122" w:type="dxa"/>
          </w:tcPr>
          <w:p w14:paraId="50758E79" w14:textId="77777777" w:rsidR="00D37D86" w:rsidRPr="00021453" w:rsidRDefault="00D37D86" w:rsidP="00FC0C44">
            <w:pPr>
              <w:jc w:val="both"/>
              <w:rPr>
                <w:b/>
                <w:bCs/>
                <w:sz w:val="20"/>
                <w:szCs w:val="20"/>
              </w:rPr>
            </w:pPr>
            <w:r w:rsidRPr="00021453">
              <w:rPr>
                <w:b/>
                <w:bCs/>
                <w:sz w:val="20"/>
                <w:szCs w:val="20"/>
              </w:rPr>
              <w:t>Finance impact</w:t>
            </w:r>
          </w:p>
        </w:tc>
        <w:tc>
          <w:tcPr>
            <w:tcW w:w="7379" w:type="dxa"/>
          </w:tcPr>
          <w:p w14:paraId="48E7A594" w14:textId="77777777" w:rsidR="00D37D86" w:rsidRPr="002B164B" w:rsidRDefault="00D37D86" w:rsidP="00FC0C44">
            <w:pPr>
              <w:jc w:val="both"/>
              <w:rPr>
                <w:sz w:val="20"/>
                <w:szCs w:val="20"/>
              </w:rPr>
            </w:pPr>
            <w:r w:rsidRPr="002B164B">
              <w:rPr>
                <w:b/>
                <w:bCs/>
                <w:sz w:val="20"/>
                <w:szCs w:val="20"/>
              </w:rPr>
              <w:t xml:space="preserve">OCC04.04: </w:t>
            </w:r>
            <w:r w:rsidRPr="002B164B">
              <w:rPr>
                <w:sz w:val="20"/>
                <w:szCs w:val="20"/>
              </w:rPr>
              <w:t>No significant overall financial impact</w:t>
            </w:r>
          </w:p>
          <w:p w14:paraId="79C7EEA3" w14:textId="77777777" w:rsidR="00D37D86" w:rsidRPr="002B164B" w:rsidRDefault="00D37D86" w:rsidP="00FC0C44">
            <w:pPr>
              <w:pStyle w:val="BodyText"/>
              <w:spacing w:before="10"/>
              <w:jc w:val="both"/>
            </w:pPr>
            <w:r w:rsidRPr="002B164B">
              <w:rPr>
                <w:b/>
                <w:bCs/>
                <w:sz w:val="20"/>
                <w:szCs w:val="20"/>
              </w:rPr>
              <w:t xml:space="preserve">OCC04.05: </w:t>
            </w:r>
            <w:r w:rsidRPr="002B164B">
              <w:rPr>
                <w:sz w:val="20"/>
                <w:szCs w:val="20"/>
              </w:rPr>
              <w:t>There are minor financial impacts associated with this measure as increased demand for care homes may increase the unit cost and place a pressure on the care home budget.</w:t>
            </w:r>
          </w:p>
        </w:tc>
      </w:tr>
    </w:tbl>
    <w:p w14:paraId="4E712A30" w14:textId="77777777" w:rsidR="00D37D86" w:rsidRPr="002B164B" w:rsidRDefault="00D37D86" w:rsidP="00D37D86">
      <w:pPr>
        <w:pStyle w:val="BodyText"/>
        <w:spacing w:before="10"/>
        <w:jc w:val="both"/>
        <w:rPr>
          <w:color w:val="FF0000"/>
          <w:sz w:val="22"/>
          <w:szCs w:val="22"/>
        </w:rPr>
      </w:pPr>
    </w:p>
    <w:p w14:paraId="666C6387" w14:textId="77777777" w:rsidR="00D37D86" w:rsidRPr="00910DB5" w:rsidRDefault="00D37D86" w:rsidP="00910DB5">
      <w:pPr>
        <w:pStyle w:val="ListParagraph"/>
        <w:numPr>
          <w:ilvl w:val="1"/>
          <w:numId w:val="43"/>
        </w:numPr>
        <w:ind w:left="426"/>
        <w:rPr>
          <w:b/>
          <w:bCs/>
          <w:sz w:val="24"/>
          <w:szCs w:val="24"/>
        </w:rPr>
      </w:pPr>
      <w:r w:rsidRPr="00910DB5">
        <w:rPr>
          <w:b/>
          <w:bCs/>
          <w:sz w:val="24"/>
          <w:szCs w:val="24"/>
        </w:rPr>
        <w:t>Priority OCC 07: Create opportunities for children and young people to reach their full potential</w:t>
      </w:r>
    </w:p>
    <w:p w14:paraId="6733280E" w14:textId="77777777" w:rsidR="00D37D86" w:rsidRPr="002B164B" w:rsidRDefault="00D37D86" w:rsidP="00D37D86">
      <w:pPr>
        <w:ind w:left="426"/>
        <w:rPr>
          <w:b/>
          <w:bCs/>
          <w:sz w:val="24"/>
          <w:szCs w:val="24"/>
        </w:rPr>
      </w:pPr>
    </w:p>
    <w:p w14:paraId="30947E26" w14:textId="77777777" w:rsidR="00D37D86" w:rsidRPr="002B164B" w:rsidRDefault="00D37D86" w:rsidP="00D37D86">
      <w:pPr>
        <w:ind w:left="426"/>
        <w:rPr>
          <w:sz w:val="24"/>
          <w:szCs w:val="24"/>
        </w:rPr>
      </w:pPr>
      <w:r w:rsidRPr="002B164B">
        <w:rPr>
          <w:sz w:val="24"/>
          <w:szCs w:val="24"/>
        </w:rPr>
        <w:t>This priority has 9 monthly measures being reported in July: 4 Red, 1 Amber, 2 Green and 2 monitoring only.</w:t>
      </w:r>
    </w:p>
    <w:p w14:paraId="4BB84235" w14:textId="77777777" w:rsidR="00D37D86" w:rsidRPr="002B164B" w:rsidRDefault="00D37D86" w:rsidP="00D37D86">
      <w:pPr>
        <w:ind w:left="426"/>
        <w:rPr>
          <w:sz w:val="24"/>
          <w:szCs w:val="24"/>
        </w:rPr>
      </w:pPr>
    </w:p>
    <w:tbl>
      <w:tblPr>
        <w:tblpPr w:leftFromText="180" w:rightFromText="180" w:vertAnchor="text" w:tblpY="1"/>
        <w:tblOverlap w:val="never"/>
        <w:tblW w:w="2827" w:type="dxa"/>
        <w:tblLook w:val="04A0" w:firstRow="1" w:lastRow="0" w:firstColumn="1" w:lastColumn="0" w:noHBand="0" w:noVBand="1"/>
      </w:tblPr>
      <w:tblGrid>
        <w:gridCol w:w="857"/>
        <w:gridCol w:w="1047"/>
        <w:gridCol w:w="1097"/>
      </w:tblGrid>
      <w:tr w:rsidR="00D37D86" w:rsidRPr="002B164B" w14:paraId="444542F3" w14:textId="77777777" w:rsidTr="00FC0C44">
        <w:trPr>
          <w:trHeight w:val="454"/>
        </w:trPr>
        <w:tc>
          <w:tcPr>
            <w:tcW w:w="282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D0D340" w14:textId="77777777" w:rsidR="00D37D86" w:rsidRPr="002B164B" w:rsidRDefault="00D37D86" w:rsidP="00FC0C44">
            <w:pPr>
              <w:widowControl/>
              <w:autoSpaceDE/>
              <w:autoSpaceDN/>
              <w:rPr>
                <w:rFonts w:eastAsia="Times New Roman"/>
                <w:b/>
                <w:bCs/>
                <w:color w:val="000000"/>
                <w:sz w:val="18"/>
                <w:szCs w:val="18"/>
                <w:lang w:eastAsia="en-GB"/>
              </w:rPr>
            </w:pPr>
            <w:r w:rsidRPr="002B164B">
              <w:rPr>
                <w:rFonts w:eastAsia="Times New Roman"/>
                <w:b/>
                <w:bCs/>
                <w:color w:val="000000"/>
                <w:sz w:val="18"/>
                <w:szCs w:val="18"/>
                <w:lang w:eastAsia="en-GB"/>
              </w:rPr>
              <w:t>Priority OCC07 overall performance:</w:t>
            </w:r>
          </w:p>
        </w:tc>
      </w:tr>
      <w:tr w:rsidR="00D37D86" w:rsidRPr="002B164B" w14:paraId="327BC1BF" w14:textId="77777777" w:rsidTr="00FC0C44">
        <w:trPr>
          <w:trHeight w:val="290"/>
        </w:trPr>
        <w:tc>
          <w:tcPr>
            <w:tcW w:w="814" w:type="dxa"/>
            <w:tcBorders>
              <w:top w:val="nil"/>
              <w:left w:val="single" w:sz="8" w:space="0" w:color="auto"/>
              <w:bottom w:val="single" w:sz="4" w:space="0" w:color="auto"/>
              <w:right w:val="single" w:sz="4" w:space="0" w:color="auto"/>
            </w:tcBorders>
            <w:shd w:val="clear" w:color="auto" w:fill="FF0000"/>
            <w:noWrap/>
            <w:vAlign w:val="center"/>
            <w:hideMark/>
          </w:tcPr>
          <w:p w14:paraId="30263221"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April</w:t>
            </w:r>
          </w:p>
        </w:tc>
        <w:tc>
          <w:tcPr>
            <w:tcW w:w="989" w:type="dxa"/>
            <w:tcBorders>
              <w:top w:val="nil"/>
              <w:left w:val="nil"/>
              <w:bottom w:val="single" w:sz="4" w:space="0" w:color="auto"/>
              <w:right w:val="single" w:sz="4" w:space="0" w:color="auto"/>
            </w:tcBorders>
            <w:shd w:val="clear" w:color="auto" w:fill="FF0000"/>
            <w:noWrap/>
            <w:vAlign w:val="center"/>
            <w:hideMark/>
          </w:tcPr>
          <w:p w14:paraId="445DEB43"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May</w:t>
            </w:r>
          </w:p>
        </w:tc>
        <w:tc>
          <w:tcPr>
            <w:tcW w:w="1024" w:type="dxa"/>
            <w:tcBorders>
              <w:top w:val="nil"/>
              <w:left w:val="nil"/>
              <w:bottom w:val="single" w:sz="4" w:space="0" w:color="auto"/>
              <w:right w:val="single" w:sz="8" w:space="0" w:color="auto"/>
            </w:tcBorders>
            <w:shd w:val="clear" w:color="auto" w:fill="FF0000"/>
            <w:noWrap/>
            <w:vAlign w:val="center"/>
            <w:hideMark/>
          </w:tcPr>
          <w:p w14:paraId="621749EC"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June</w:t>
            </w:r>
          </w:p>
        </w:tc>
      </w:tr>
      <w:tr w:rsidR="00D37D86" w:rsidRPr="002B164B" w14:paraId="0D72742C" w14:textId="77777777" w:rsidTr="00FC0C44">
        <w:trPr>
          <w:trHeight w:val="305"/>
        </w:trPr>
        <w:tc>
          <w:tcPr>
            <w:tcW w:w="814" w:type="dxa"/>
            <w:tcBorders>
              <w:top w:val="nil"/>
              <w:left w:val="single" w:sz="8" w:space="0" w:color="auto"/>
              <w:bottom w:val="single" w:sz="4" w:space="0" w:color="auto"/>
              <w:right w:val="single" w:sz="4" w:space="0" w:color="auto"/>
            </w:tcBorders>
            <w:shd w:val="clear" w:color="auto" w:fill="FF0000"/>
            <w:noWrap/>
            <w:vAlign w:val="center"/>
            <w:hideMark/>
          </w:tcPr>
          <w:p w14:paraId="50C47C26" w14:textId="77777777" w:rsidR="00D37D86" w:rsidRPr="002B164B" w:rsidRDefault="00D37D86" w:rsidP="00FC0C44">
            <w:pPr>
              <w:widowControl/>
              <w:autoSpaceDE/>
              <w:autoSpaceDN/>
              <w:jc w:val="center"/>
              <w:rPr>
                <w:rFonts w:eastAsia="Times New Roman"/>
                <w:sz w:val="18"/>
                <w:szCs w:val="18"/>
                <w:lang w:eastAsia="en-GB"/>
              </w:rPr>
            </w:pPr>
            <w:r w:rsidRPr="002B164B">
              <w:rPr>
                <w:rFonts w:eastAsia="Times New Roman"/>
                <w:sz w:val="18"/>
                <w:szCs w:val="18"/>
                <w:lang w:eastAsia="en-GB"/>
              </w:rPr>
              <w:t>July</w:t>
            </w:r>
          </w:p>
        </w:tc>
        <w:tc>
          <w:tcPr>
            <w:tcW w:w="989" w:type="dxa"/>
            <w:tcBorders>
              <w:top w:val="nil"/>
              <w:left w:val="nil"/>
              <w:bottom w:val="single" w:sz="4" w:space="0" w:color="auto"/>
              <w:right w:val="single" w:sz="4" w:space="0" w:color="auto"/>
            </w:tcBorders>
            <w:shd w:val="clear" w:color="auto" w:fill="FFFFFF" w:themeFill="background1"/>
            <w:noWrap/>
            <w:vAlign w:val="center"/>
            <w:hideMark/>
          </w:tcPr>
          <w:p w14:paraId="1CDBADC0"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August</w:t>
            </w:r>
          </w:p>
        </w:tc>
        <w:tc>
          <w:tcPr>
            <w:tcW w:w="1024" w:type="dxa"/>
            <w:tcBorders>
              <w:top w:val="nil"/>
              <w:left w:val="nil"/>
              <w:bottom w:val="single" w:sz="4" w:space="0" w:color="auto"/>
              <w:right w:val="single" w:sz="8" w:space="0" w:color="auto"/>
            </w:tcBorders>
            <w:shd w:val="clear" w:color="auto" w:fill="FFFFFF" w:themeFill="background1"/>
            <w:noWrap/>
            <w:vAlign w:val="center"/>
            <w:hideMark/>
          </w:tcPr>
          <w:p w14:paraId="32A56077"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September</w:t>
            </w:r>
          </w:p>
        </w:tc>
      </w:tr>
      <w:tr w:rsidR="00D37D86" w:rsidRPr="002B164B" w14:paraId="022314BE" w14:textId="77777777" w:rsidTr="00FC0C44">
        <w:trPr>
          <w:trHeight w:val="295"/>
        </w:trPr>
        <w:tc>
          <w:tcPr>
            <w:tcW w:w="814"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ADF85A3"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October</w:t>
            </w:r>
          </w:p>
        </w:tc>
        <w:tc>
          <w:tcPr>
            <w:tcW w:w="989" w:type="dxa"/>
            <w:tcBorders>
              <w:top w:val="nil"/>
              <w:left w:val="nil"/>
              <w:bottom w:val="single" w:sz="4" w:space="0" w:color="auto"/>
              <w:right w:val="single" w:sz="4" w:space="0" w:color="auto"/>
            </w:tcBorders>
            <w:shd w:val="clear" w:color="auto" w:fill="FFFFFF" w:themeFill="background1"/>
            <w:noWrap/>
            <w:vAlign w:val="center"/>
            <w:hideMark/>
          </w:tcPr>
          <w:p w14:paraId="6C16AD42"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November</w:t>
            </w:r>
          </w:p>
        </w:tc>
        <w:tc>
          <w:tcPr>
            <w:tcW w:w="1024" w:type="dxa"/>
            <w:tcBorders>
              <w:top w:val="nil"/>
              <w:left w:val="nil"/>
              <w:bottom w:val="single" w:sz="4" w:space="0" w:color="auto"/>
              <w:right w:val="single" w:sz="8" w:space="0" w:color="auto"/>
            </w:tcBorders>
            <w:shd w:val="clear" w:color="auto" w:fill="FFFFFF" w:themeFill="background1"/>
            <w:noWrap/>
            <w:vAlign w:val="center"/>
            <w:hideMark/>
          </w:tcPr>
          <w:p w14:paraId="3D019E4F"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December</w:t>
            </w:r>
          </w:p>
        </w:tc>
      </w:tr>
      <w:tr w:rsidR="00D37D86" w:rsidRPr="002B164B" w14:paraId="67A982CD" w14:textId="77777777" w:rsidTr="00FC0C44">
        <w:trPr>
          <w:trHeight w:val="298"/>
        </w:trPr>
        <w:tc>
          <w:tcPr>
            <w:tcW w:w="814" w:type="dxa"/>
            <w:tcBorders>
              <w:top w:val="nil"/>
              <w:left w:val="single" w:sz="8" w:space="0" w:color="auto"/>
              <w:bottom w:val="single" w:sz="8" w:space="0" w:color="auto"/>
              <w:right w:val="single" w:sz="4" w:space="0" w:color="auto"/>
            </w:tcBorders>
            <w:shd w:val="clear" w:color="auto" w:fill="FFFFFF" w:themeFill="background1"/>
            <w:noWrap/>
            <w:vAlign w:val="center"/>
            <w:hideMark/>
          </w:tcPr>
          <w:p w14:paraId="16DF80E9"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January</w:t>
            </w:r>
          </w:p>
        </w:tc>
        <w:tc>
          <w:tcPr>
            <w:tcW w:w="989" w:type="dxa"/>
            <w:tcBorders>
              <w:top w:val="nil"/>
              <w:left w:val="nil"/>
              <w:bottom w:val="single" w:sz="8" w:space="0" w:color="auto"/>
              <w:right w:val="single" w:sz="4" w:space="0" w:color="auto"/>
            </w:tcBorders>
            <w:shd w:val="clear" w:color="auto" w:fill="FFFFFF" w:themeFill="background1"/>
            <w:noWrap/>
            <w:vAlign w:val="center"/>
            <w:hideMark/>
          </w:tcPr>
          <w:p w14:paraId="176133DB"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February</w:t>
            </w:r>
          </w:p>
        </w:tc>
        <w:tc>
          <w:tcPr>
            <w:tcW w:w="1024" w:type="dxa"/>
            <w:tcBorders>
              <w:top w:val="nil"/>
              <w:left w:val="nil"/>
              <w:bottom w:val="single" w:sz="8" w:space="0" w:color="auto"/>
              <w:right w:val="single" w:sz="8" w:space="0" w:color="auto"/>
            </w:tcBorders>
            <w:shd w:val="clear" w:color="auto" w:fill="FFFFFF" w:themeFill="background1"/>
            <w:noWrap/>
            <w:vAlign w:val="center"/>
            <w:hideMark/>
          </w:tcPr>
          <w:p w14:paraId="070F0E70"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March</w:t>
            </w:r>
          </w:p>
        </w:tc>
      </w:tr>
    </w:tbl>
    <w:p w14:paraId="6D0BE170" w14:textId="77777777" w:rsidR="00D37D86" w:rsidRPr="002B164B" w:rsidRDefault="00D37D86" w:rsidP="00D37D86">
      <w:pPr>
        <w:ind w:left="426"/>
        <w:rPr>
          <w:sz w:val="24"/>
          <w:szCs w:val="24"/>
        </w:rPr>
      </w:pPr>
      <w:r w:rsidRPr="002B164B">
        <w:rPr>
          <w:noProof/>
        </w:rPr>
        <mc:AlternateContent>
          <mc:Choice Requires="wps">
            <w:drawing>
              <wp:anchor distT="0" distB="0" distL="114300" distR="114300" simplePos="0" relativeHeight="251663360" behindDoc="0" locked="0" layoutInCell="1" allowOverlap="1" wp14:anchorId="762E2280" wp14:editId="1C374AD7">
                <wp:simplePos x="0" y="0"/>
                <wp:positionH relativeFrom="margin">
                  <wp:posOffset>2009741</wp:posOffset>
                </wp:positionH>
                <wp:positionV relativeFrom="paragraph">
                  <wp:posOffset>4445</wp:posOffset>
                </wp:positionV>
                <wp:extent cx="3819525" cy="2200275"/>
                <wp:effectExtent l="0" t="0" r="28575" b="2857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19525" cy="2200275"/>
                        </a:xfrm>
                        <a:prstGeom prst="rect">
                          <a:avLst/>
                        </a:prstGeom>
                        <a:solidFill>
                          <a:sysClr val="window" lastClr="FFFFFF"/>
                        </a:solidFill>
                        <a:ln w="6350">
                          <a:solidFill>
                            <a:prstClr val="black"/>
                          </a:solidFill>
                        </a:ln>
                      </wps:spPr>
                      <wps:txbx>
                        <w:txbxContent>
                          <w:p w14:paraId="246B5757" w14:textId="77777777" w:rsidR="00D37D86" w:rsidRPr="00431081" w:rsidRDefault="00D37D86" w:rsidP="00D37D86">
                            <w:pPr>
                              <w:jc w:val="both"/>
                              <w:rPr>
                                <w:rFonts w:asciiTheme="minorHAnsi" w:hAnsiTheme="minorHAnsi" w:cstheme="minorHAnsi"/>
                                <w:sz w:val="18"/>
                                <w:szCs w:val="18"/>
                              </w:rPr>
                            </w:pPr>
                            <w:r>
                              <w:rPr>
                                <w:rFonts w:asciiTheme="minorHAnsi" w:hAnsiTheme="minorHAnsi" w:cstheme="minorHAnsi"/>
                                <w:sz w:val="18"/>
                                <w:szCs w:val="18"/>
                              </w:rPr>
                              <w:t>T</w:t>
                            </w:r>
                            <w:r w:rsidRPr="00431081">
                              <w:rPr>
                                <w:rFonts w:asciiTheme="minorHAnsi" w:hAnsiTheme="minorHAnsi" w:cstheme="minorHAnsi"/>
                                <w:sz w:val="18"/>
                                <w:szCs w:val="18"/>
                              </w:rPr>
                              <w:t xml:space="preserve">able illustrates the measure </w:t>
                            </w:r>
                            <w:r>
                              <w:rPr>
                                <w:rFonts w:asciiTheme="minorHAnsi" w:hAnsiTheme="minorHAnsi" w:cstheme="minorHAnsi"/>
                                <w:sz w:val="18"/>
                                <w:szCs w:val="18"/>
                              </w:rPr>
                              <w:t xml:space="preserve">within </w:t>
                            </w:r>
                            <w:r w:rsidRPr="00431081">
                              <w:rPr>
                                <w:rFonts w:asciiTheme="minorHAnsi" w:hAnsiTheme="minorHAnsi" w:cstheme="minorHAnsi"/>
                                <w:b/>
                                <w:bCs/>
                                <w:sz w:val="18"/>
                                <w:szCs w:val="18"/>
                              </w:rPr>
                              <w:t>Priority OCC 0</w:t>
                            </w:r>
                            <w:r>
                              <w:rPr>
                                <w:rFonts w:asciiTheme="minorHAnsi" w:hAnsiTheme="minorHAnsi" w:cstheme="minorHAnsi"/>
                                <w:b/>
                                <w:bCs/>
                                <w:sz w:val="18"/>
                                <w:szCs w:val="18"/>
                              </w:rPr>
                              <w:t>7</w:t>
                            </w:r>
                            <w:r>
                              <w:rPr>
                                <w:rFonts w:asciiTheme="minorHAnsi" w:hAnsiTheme="minorHAnsi" w:cstheme="minorHAnsi"/>
                                <w:sz w:val="18"/>
                                <w:szCs w:val="18"/>
                              </w:rPr>
                              <w:t xml:space="preserve"> that are </w:t>
                            </w:r>
                            <w:r w:rsidRPr="00431081">
                              <w:rPr>
                                <w:rFonts w:asciiTheme="minorHAnsi" w:hAnsiTheme="minorHAnsi" w:cstheme="minorHAnsi"/>
                                <w:sz w:val="18"/>
                                <w:szCs w:val="18"/>
                              </w:rPr>
                              <w:t>performing under target and the RAG status.</w:t>
                            </w:r>
                          </w:p>
                          <w:tbl>
                            <w:tblPr>
                              <w:tblStyle w:val="TableGrid1"/>
                              <w:tblW w:w="4886" w:type="pct"/>
                              <w:tblLook w:val="04A0" w:firstRow="1" w:lastRow="0" w:firstColumn="1" w:lastColumn="0" w:noHBand="0" w:noVBand="1"/>
                            </w:tblPr>
                            <w:tblGrid>
                              <w:gridCol w:w="3794"/>
                              <w:gridCol w:w="832"/>
                              <w:gridCol w:w="966"/>
                            </w:tblGrid>
                            <w:tr w:rsidR="00D37D86" w:rsidRPr="00431081" w14:paraId="21063392" w14:textId="77777777" w:rsidTr="00793462">
                              <w:tc>
                                <w:tcPr>
                                  <w:tcW w:w="3392" w:type="pct"/>
                                </w:tcPr>
                                <w:p w14:paraId="45026C9D" w14:textId="77777777" w:rsidR="00D37D86" w:rsidRPr="007D21C1" w:rsidRDefault="00D37D86" w:rsidP="00DD5E17">
                                  <w:pPr>
                                    <w:spacing w:before="10"/>
                                    <w:jc w:val="both"/>
                                    <w:rPr>
                                      <w:rFonts w:asciiTheme="minorHAnsi" w:hAnsiTheme="minorHAnsi" w:cstheme="minorHAnsi"/>
                                      <w:b/>
                                      <w:bCs/>
                                      <w:sz w:val="20"/>
                                      <w:szCs w:val="20"/>
                                    </w:rPr>
                                  </w:pPr>
                                  <w:r w:rsidRPr="007D21C1">
                                    <w:rPr>
                                      <w:rFonts w:asciiTheme="minorHAnsi" w:hAnsiTheme="minorHAnsi" w:cstheme="minorHAnsi"/>
                                      <w:b/>
                                      <w:bCs/>
                                      <w:sz w:val="20"/>
                                      <w:szCs w:val="20"/>
                                    </w:rPr>
                                    <w:t>Measure:</w:t>
                                  </w:r>
                                  <w:r>
                                    <w:rPr>
                                      <w:rFonts w:asciiTheme="minorHAnsi" w:hAnsiTheme="minorHAnsi" w:cstheme="minorHAnsi"/>
                                      <w:b/>
                                      <w:bCs/>
                                      <w:sz w:val="20"/>
                                      <w:szCs w:val="20"/>
                                    </w:rPr>
                                    <w:t xml:space="preserve"> </w:t>
                                  </w:r>
                                </w:p>
                              </w:tc>
                              <w:tc>
                                <w:tcPr>
                                  <w:tcW w:w="744" w:type="pct"/>
                                  <w:vAlign w:val="center"/>
                                </w:tcPr>
                                <w:p w14:paraId="090D8BDE" w14:textId="77777777" w:rsidR="00D37D86" w:rsidRPr="007D21C1" w:rsidRDefault="00D37D86" w:rsidP="00DD5E17">
                                  <w:pPr>
                                    <w:spacing w:before="10"/>
                                    <w:rPr>
                                      <w:rFonts w:asciiTheme="minorHAnsi" w:hAnsiTheme="minorHAnsi" w:cstheme="minorHAnsi"/>
                                      <w:b/>
                                      <w:bCs/>
                                      <w:sz w:val="20"/>
                                      <w:szCs w:val="20"/>
                                    </w:rPr>
                                  </w:pPr>
                                  <w:r w:rsidRPr="007D21C1">
                                    <w:rPr>
                                      <w:rFonts w:asciiTheme="minorHAnsi" w:hAnsiTheme="minorHAnsi" w:cstheme="minorHAnsi"/>
                                      <w:b/>
                                      <w:bCs/>
                                      <w:sz w:val="20"/>
                                      <w:szCs w:val="20"/>
                                    </w:rPr>
                                    <w:t>Status:</w:t>
                                  </w:r>
                                </w:p>
                              </w:tc>
                              <w:tc>
                                <w:tcPr>
                                  <w:tcW w:w="864" w:type="pct"/>
                                </w:tcPr>
                                <w:p w14:paraId="67BB8C67" w14:textId="77777777" w:rsidR="00D37D86" w:rsidRPr="007D21C1" w:rsidRDefault="00D37D86" w:rsidP="00DD5E17">
                                  <w:pPr>
                                    <w:spacing w:before="10"/>
                                    <w:rPr>
                                      <w:rFonts w:asciiTheme="minorHAnsi" w:hAnsiTheme="minorHAnsi" w:cstheme="minorHAnsi"/>
                                      <w:b/>
                                      <w:bCs/>
                                      <w:sz w:val="20"/>
                                      <w:szCs w:val="20"/>
                                    </w:rPr>
                                  </w:pPr>
                                  <w:r w:rsidRPr="007D21C1">
                                    <w:rPr>
                                      <w:rFonts w:asciiTheme="minorHAnsi" w:hAnsiTheme="minorHAnsi" w:cstheme="minorHAnsi"/>
                                      <w:b/>
                                      <w:bCs/>
                                      <w:sz w:val="20"/>
                                      <w:szCs w:val="20"/>
                                    </w:rPr>
                                    <w:t>Director:</w:t>
                                  </w:r>
                                </w:p>
                              </w:tc>
                            </w:tr>
                            <w:tr w:rsidR="00D37D86" w:rsidRPr="00431081" w14:paraId="7A96F70E" w14:textId="77777777" w:rsidTr="00793462">
                              <w:tc>
                                <w:tcPr>
                                  <w:tcW w:w="3392" w:type="pct"/>
                                  <w:vAlign w:val="center"/>
                                </w:tcPr>
                                <w:p w14:paraId="05F52DF3" w14:textId="77777777" w:rsidR="00D37D86" w:rsidRPr="00244F50" w:rsidRDefault="00D37D86" w:rsidP="00793462">
                                  <w:pPr>
                                    <w:spacing w:before="10"/>
                                    <w:rPr>
                                      <w:rFonts w:asciiTheme="minorHAnsi" w:hAnsiTheme="minorHAnsi" w:cstheme="minorHAnsi"/>
                                      <w:sz w:val="20"/>
                                      <w:szCs w:val="20"/>
                                      <w:highlight w:val="yellow"/>
                                    </w:rPr>
                                  </w:pPr>
                                  <w:r w:rsidRPr="00B90078">
                                    <w:rPr>
                                      <w:rFonts w:asciiTheme="minorHAnsi" w:hAnsiTheme="minorHAnsi" w:cstheme="minorHAnsi"/>
                                      <w:b/>
                                      <w:bCs/>
                                      <w:sz w:val="20"/>
                                      <w:szCs w:val="20"/>
                                    </w:rPr>
                                    <w:t>OCC</w:t>
                                  </w:r>
                                  <w:r w:rsidRPr="00A414FC">
                                    <w:rPr>
                                      <w:rFonts w:asciiTheme="minorHAnsi" w:hAnsiTheme="minorHAnsi" w:cstheme="minorHAnsi"/>
                                      <w:b/>
                                      <w:bCs/>
                                      <w:sz w:val="20"/>
                                      <w:szCs w:val="20"/>
                                    </w:rPr>
                                    <w:t>0</w:t>
                                  </w:r>
                                  <w:r w:rsidRPr="00B90078">
                                    <w:rPr>
                                      <w:rFonts w:asciiTheme="minorHAnsi" w:hAnsiTheme="minorHAnsi" w:cstheme="minorHAnsi"/>
                                      <w:b/>
                                      <w:bCs/>
                                      <w:sz w:val="20"/>
                                      <w:szCs w:val="20"/>
                                    </w:rPr>
                                    <w:t xml:space="preserve">7.01: </w:t>
                                  </w:r>
                                  <w:r w:rsidRPr="00B90078">
                                    <w:rPr>
                                      <w:rFonts w:asciiTheme="minorHAnsi" w:hAnsiTheme="minorHAnsi" w:cstheme="minorHAnsi"/>
                                      <w:sz w:val="20"/>
                                      <w:szCs w:val="20"/>
                                    </w:rPr>
                                    <w:t>Number of Contacts into the MASH</w:t>
                                  </w:r>
                                </w:p>
                              </w:tc>
                              <w:tc>
                                <w:tcPr>
                                  <w:tcW w:w="744" w:type="pct"/>
                                  <w:vAlign w:val="center"/>
                                </w:tcPr>
                                <w:p w14:paraId="29F088D0" w14:textId="77777777" w:rsidR="00D37D86" w:rsidRPr="00244F50" w:rsidRDefault="00D37D86" w:rsidP="00793462">
                                  <w:pPr>
                                    <w:spacing w:before="10"/>
                                    <w:jc w:val="center"/>
                                    <w:rPr>
                                      <w:rFonts w:asciiTheme="minorHAnsi" w:hAnsiTheme="minorHAnsi" w:cstheme="minorHAnsi"/>
                                      <w:b/>
                                      <w:bCs/>
                                      <w:sz w:val="20"/>
                                      <w:szCs w:val="20"/>
                                      <w:highlight w:val="yellow"/>
                                    </w:rPr>
                                  </w:pPr>
                                  <w:r w:rsidRPr="00AA75E1">
                                    <w:rPr>
                                      <w:rFonts w:asciiTheme="minorHAnsi" w:hAnsiTheme="minorHAnsi" w:cstheme="minorHAnsi"/>
                                      <w:b/>
                                      <w:bCs/>
                                      <w:sz w:val="20"/>
                                      <w:szCs w:val="20"/>
                                    </w:rPr>
                                    <w:t>Red</w:t>
                                  </w:r>
                                </w:p>
                              </w:tc>
                              <w:tc>
                                <w:tcPr>
                                  <w:tcW w:w="864" w:type="pct"/>
                                  <w:vAlign w:val="center"/>
                                </w:tcPr>
                                <w:p w14:paraId="0BBD5C9F" w14:textId="77777777" w:rsidR="00D37D86" w:rsidRPr="00244F50" w:rsidRDefault="00D37D86" w:rsidP="00793462">
                                  <w:pPr>
                                    <w:spacing w:before="10"/>
                                    <w:jc w:val="center"/>
                                    <w:rPr>
                                      <w:rFonts w:asciiTheme="minorHAnsi" w:hAnsiTheme="minorHAnsi" w:cstheme="minorHAnsi"/>
                                      <w:b/>
                                      <w:bCs/>
                                      <w:sz w:val="20"/>
                                      <w:szCs w:val="20"/>
                                      <w:highlight w:val="yellow"/>
                                    </w:rPr>
                                  </w:pPr>
                                  <w:r w:rsidRPr="00B90078">
                                    <w:rPr>
                                      <w:rFonts w:asciiTheme="minorHAnsi" w:hAnsiTheme="minorHAnsi" w:cstheme="minorHAnsi"/>
                                      <w:b/>
                                      <w:bCs/>
                                      <w:sz w:val="20"/>
                                      <w:szCs w:val="20"/>
                                    </w:rPr>
                                    <w:t>Kevin Gordon</w:t>
                                  </w:r>
                                </w:p>
                              </w:tc>
                            </w:tr>
                            <w:tr w:rsidR="00D37D86" w:rsidRPr="00431081" w14:paraId="6FDFC035" w14:textId="77777777" w:rsidTr="00793462">
                              <w:tc>
                                <w:tcPr>
                                  <w:tcW w:w="3392" w:type="pct"/>
                                  <w:vAlign w:val="center"/>
                                </w:tcPr>
                                <w:p w14:paraId="0C90D63D" w14:textId="77777777" w:rsidR="00D37D86" w:rsidRPr="0022450C" w:rsidRDefault="00D37D86" w:rsidP="00793462">
                                  <w:pPr>
                                    <w:spacing w:before="10"/>
                                    <w:rPr>
                                      <w:rFonts w:asciiTheme="minorHAnsi" w:hAnsiTheme="minorHAnsi" w:cstheme="minorHAnsi"/>
                                      <w:sz w:val="20"/>
                                      <w:szCs w:val="20"/>
                                    </w:rPr>
                                  </w:pPr>
                                  <w:r w:rsidRPr="00B90078">
                                    <w:rPr>
                                      <w:rFonts w:asciiTheme="minorHAnsi" w:hAnsiTheme="minorHAnsi" w:cstheme="minorHAnsi"/>
                                      <w:b/>
                                      <w:bCs/>
                                      <w:sz w:val="20"/>
                                      <w:szCs w:val="20"/>
                                    </w:rPr>
                                    <w:t>OCC</w:t>
                                  </w:r>
                                  <w:r w:rsidRPr="00A414FC">
                                    <w:rPr>
                                      <w:rFonts w:asciiTheme="minorHAnsi" w:hAnsiTheme="minorHAnsi" w:cstheme="minorHAnsi"/>
                                      <w:b/>
                                      <w:bCs/>
                                      <w:sz w:val="20"/>
                                      <w:szCs w:val="20"/>
                                    </w:rPr>
                                    <w:t>0</w:t>
                                  </w:r>
                                  <w:r w:rsidRPr="00B90078">
                                    <w:rPr>
                                      <w:rFonts w:asciiTheme="minorHAnsi" w:hAnsiTheme="minorHAnsi" w:cstheme="minorHAnsi"/>
                                      <w:b/>
                                      <w:bCs/>
                                      <w:sz w:val="20"/>
                                      <w:szCs w:val="20"/>
                                    </w:rPr>
                                    <w:t>7.0</w:t>
                                  </w:r>
                                  <w:r>
                                    <w:rPr>
                                      <w:rFonts w:asciiTheme="minorHAnsi" w:hAnsiTheme="minorHAnsi" w:cstheme="minorHAnsi"/>
                                      <w:b/>
                                      <w:bCs/>
                                      <w:sz w:val="20"/>
                                      <w:szCs w:val="20"/>
                                    </w:rPr>
                                    <w:t>2</w:t>
                                  </w:r>
                                  <w:r w:rsidRPr="00B90078">
                                    <w:rPr>
                                      <w:rFonts w:asciiTheme="minorHAnsi" w:hAnsiTheme="minorHAnsi" w:cstheme="minorHAnsi"/>
                                      <w:b/>
                                      <w:bCs/>
                                      <w:sz w:val="20"/>
                                      <w:szCs w:val="20"/>
                                    </w:rPr>
                                    <w:t xml:space="preserve">: </w:t>
                                  </w:r>
                                  <w:r>
                                    <w:rPr>
                                      <w:rFonts w:asciiTheme="minorHAnsi" w:hAnsiTheme="minorHAnsi" w:cstheme="minorHAnsi"/>
                                      <w:sz w:val="20"/>
                                      <w:szCs w:val="20"/>
                                    </w:rPr>
                                    <w:t>Number of early help assessments</w:t>
                                  </w:r>
                                </w:p>
                              </w:tc>
                              <w:tc>
                                <w:tcPr>
                                  <w:tcW w:w="744" w:type="pct"/>
                                  <w:vAlign w:val="center"/>
                                </w:tcPr>
                                <w:p w14:paraId="2B77A945" w14:textId="77777777" w:rsidR="00D37D86" w:rsidRPr="007D21C1" w:rsidRDefault="00D37D86" w:rsidP="00793462">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864" w:type="pct"/>
                                  <w:vAlign w:val="center"/>
                                </w:tcPr>
                                <w:p w14:paraId="28A57E01" w14:textId="77777777" w:rsidR="00D37D86" w:rsidRPr="007D21C1" w:rsidRDefault="00D37D86" w:rsidP="00793462">
                                  <w:pPr>
                                    <w:spacing w:before="10"/>
                                    <w:jc w:val="center"/>
                                    <w:rPr>
                                      <w:rFonts w:asciiTheme="minorHAnsi" w:hAnsiTheme="minorHAnsi" w:cstheme="minorHAnsi"/>
                                      <w:b/>
                                      <w:bCs/>
                                      <w:sz w:val="20"/>
                                      <w:szCs w:val="20"/>
                                    </w:rPr>
                                  </w:pPr>
                                  <w:r w:rsidRPr="00B90078">
                                    <w:rPr>
                                      <w:rFonts w:asciiTheme="minorHAnsi" w:hAnsiTheme="minorHAnsi" w:cstheme="minorHAnsi"/>
                                      <w:b/>
                                      <w:bCs/>
                                      <w:sz w:val="20"/>
                                      <w:szCs w:val="20"/>
                                    </w:rPr>
                                    <w:t>Kevin Gordon</w:t>
                                  </w:r>
                                </w:p>
                              </w:tc>
                            </w:tr>
                            <w:tr w:rsidR="00D37D86" w:rsidRPr="00431081" w14:paraId="09907149" w14:textId="77777777" w:rsidTr="00793462">
                              <w:tc>
                                <w:tcPr>
                                  <w:tcW w:w="3392" w:type="pct"/>
                                  <w:vAlign w:val="center"/>
                                </w:tcPr>
                                <w:p w14:paraId="75DD94E8" w14:textId="77777777" w:rsidR="00D37D86" w:rsidRPr="00CE27CE" w:rsidRDefault="00D37D86" w:rsidP="00793462">
                                  <w:pPr>
                                    <w:spacing w:before="10"/>
                                    <w:rPr>
                                      <w:rFonts w:asciiTheme="minorHAnsi" w:hAnsiTheme="minorHAnsi" w:cstheme="minorHAnsi"/>
                                      <w:b/>
                                      <w:bCs/>
                                      <w:sz w:val="20"/>
                                      <w:szCs w:val="20"/>
                                    </w:rPr>
                                  </w:pPr>
                                  <w:r w:rsidRPr="00B21A67">
                                    <w:rPr>
                                      <w:rFonts w:asciiTheme="minorHAnsi" w:hAnsiTheme="minorHAnsi" w:cstheme="minorHAnsi"/>
                                      <w:b/>
                                      <w:bCs/>
                                      <w:sz w:val="20"/>
                                      <w:szCs w:val="20"/>
                                    </w:rPr>
                                    <w:t>OCC07.03</w:t>
                                  </w:r>
                                  <w:r>
                                    <w:rPr>
                                      <w:rFonts w:asciiTheme="minorHAnsi" w:hAnsiTheme="minorHAnsi" w:cstheme="minorHAnsi"/>
                                      <w:b/>
                                      <w:bCs/>
                                      <w:sz w:val="20"/>
                                      <w:szCs w:val="20"/>
                                    </w:rPr>
                                    <w:t>:</w:t>
                                  </w:r>
                                  <w:r>
                                    <w:rPr>
                                      <w:b/>
                                      <w:bCs/>
                                      <w:sz w:val="20"/>
                                      <w:szCs w:val="20"/>
                                    </w:rPr>
                                    <w:t xml:space="preserve"> </w:t>
                                  </w:r>
                                  <w:r w:rsidRPr="00B21A67">
                                    <w:rPr>
                                      <w:rFonts w:asciiTheme="minorHAnsi" w:hAnsiTheme="minorHAnsi" w:cstheme="minorHAnsi"/>
                                      <w:sz w:val="20"/>
                                      <w:szCs w:val="20"/>
                                    </w:rPr>
                                    <w:t>Number of early help</w:t>
                                  </w:r>
                                  <w:r>
                                    <w:rPr>
                                      <w:rFonts w:asciiTheme="minorHAnsi" w:hAnsiTheme="minorHAnsi" w:cstheme="minorHAnsi"/>
                                      <w:sz w:val="20"/>
                                      <w:szCs w:val="20"/>
                                    </w:rPr>
                                    <w:t xml:space="preserve"> </w:t>
                                  </w:r>
                                  <w:r w:rsidRPr="00B21A67">
                                    <w:rPr>
                                      <w:rFonts w:asciiTheme="minorHAnsi" w:hAnsiTheme="minorHAnsi" w:cstheme="minorHAnsi"/>
                                      <w:sz w:val="20"/>
                                      <w:szCs w:val="20"/>
                                    </w:rPr>
                                    <w:t>assessments</w:t>
                                  </w:r>
                                  <w:r>
                                    <w:rPr>
                                      <w:rFonts w:asciiTheme="minorHAnsi" w:hAnsiTheme="minorHAnsi" w:cstheme="minorHAnsi"/>
                                      <w:sz w:val="20"/>
                                      <w:szCs w:val="20"/>
                                    </w:rPr>
                                    <w:t xml:space="preserve"> </w:t>
                                  </w:r>
                                  <w:r w:rsidRPr="00B21A67">
                                    <w:rPr>
                                      <w:rFonts w:asciiTheme="minorHAnsi" w:hAnsiTheme="minorHAnsi" w:cstheme="minorHAnsi"/>
                                      <w:sz w:val="20"/>
                                      <w:szCs w:val="20"/>
                                    </w:rPr>
                                    <w:t>completed by health visitors</w:t>
                                  </w:r>
                                </w:p>
                              </w:tc>
                              <w:tc>
                                <w:tcPr>
                                  <w:tcW w:w="744" w:type="pct"/>
                                  <w:vAlign w:val="center"/>
                                </w:tcPr>
                                <w:p w14:paraId="50A67899" w14:textId="77777777" w:rsidR="00D37D86" w:rsidRPr="00B3760C" w:rsidRDefault="00D37D86" w:rsidP="00793462">
                                  <w:pPr>
                                    <w:spacing w:before="10"/>
                                    <w:jc w:val="center"/>
                                    <w:rPr>
                                      <w:rFonts w:asciiTheme="minorHAnsi" w:hAnsiTheme="minorHAnsi" w:cstheme="minorHAnsi"/>
                                      <w:b/>
                                      <w:bCs/>
                                      <w:color w:val="FFC000"/>
                                      <w:sz w:val="20"/>
                                      <w:szCs w:val="20"/>
                                    </w:rPr>
                                  </w:pPr>
                                  <w:r w:rsidRPr="00AA75E1">
                                    <w:rPr>
                                      <w:rFonts w:asciiTheme="minorHAnsi" w:hAnsiTheme="minorHAnsi" w:cstheme="minorHAnsi"/>
                                      <w:b/>
                                      <w:bCs/>
                                      <w:sz w:val="20"/>
                                      <w:szCs w:val="20"/>
                                    </w:rPr>
                                    <w:t>Red</w:t>
                                  </w:r>
                                </w:p>
                              </w:tc>
                              <w:tc>
                                <w:tcPr>
                                  <w:tcW w:w="864" w:type="pct"/>
                                  <w:vAlign w:val="center"/>
                                </w:tcPr>
                                <w:p w14:paraId="1D6D6A37" w14:textId="77777777" w:rsidR="00D37D86" w:rsidRPr="00A749C5" w:rsidRDefault="00D37D86" w:rsidP="00793462">
                                  <w:pPr>
                                    <w:spacing w:before="10"/>
                                    <w:jc w:val="center"/>
                                    <w:rPr>
                                      <w:rFonts w:asciiTheme="minorHAnsi" w:hAnsiTheme="minorHAnsi" w:cstheme="minorHAnsi"/>
                                      <w:b/>
                                      <w:bCs/>
                                      <w:sz w:val="20"/>
                                      <w:szCs w:val="20"/>
                                    </w:rPr>
                                  </w:pPr>
                                  <w:r w:rsidRPr="00B90078">
                                    <w:rPr>
                                      <w:rFonts w:asciiTheme="minorHAnsi" w:hAnsiTheme="minorHAnsi" w:cstheme="minorHAnsi"/>
                                      <w:b/>
                                      <w:bCs/>
                                      <w:sz w:val="20"/>
                                      <w:szCs w:val="20"/>
                                    </w:rPr>
                                    <w:t>Kevin Gordon</w:t>
                                  </w:r>
                                </w:p>
                              </w:tc>
                            </w:tr>
                            <w:tr w:rsidR="00D37D86" w:rsidRPr="00431081" w14:paraId="6E9E3E97" w14:textId="77777777" w:rsidTr="00793462">
                              <w:tc>
                                <w:tcPr>
                                  <w:tcW w:w="3392" w:type="pct"/>
                                  <w:vAlign w:val="center"/>
                                </w:tcPr>
                                <w:p w14:paraId="0556C4EE" w14:textId="77777777" w:rsidR="00D37D86" w:rsidRPr="00B21A67" w:rsidRDefault="00D37D86" w:rsidP="00793462">
                                  <w:pPr>
                                    <w:spacing w:before="10"/>
                                    <w:rPr>
                                      <w:rFonts w:asciiTheme="minorHAnsi" w:hAnsiTheme="minorHAnsi" w:cstheme="minorHAnsi"/>
                                      <w:b/>
                                      <w:bCs/>
                                      <w:sz w:val="20"/>
                                      <w:szCs w:val="20"/>
                                    </w:rPr>
                                  </w:pPr>
                                  <w:r w:rsidRPr="00B90078">
                                    <w:rPr>
                                      <w:rFonts w:asciiTheme="minorHAnsi" w:hAnsiTheme="minorHAnsi" w:cstheme="minorHAnsi"/>
                                      <w:b/>
                                      <w:bCs/>
                                      <w:sz w:val="20"/>
                                      <w:szCs w:val="20"/>
                                    </w:rPr>
                                    <w:t>OCC</w:t>
                                  </w:r>
                                  <w:r>
                                    <w:rPr>
                                      <w:rFonts w:asciiTheme="minorHAnsi" w:hAnsiTheme="minorHAnsi" w:cstheme="minorHAnsi"/>
                                      <w:b/>
                                      <w:bCs/>
                                      <w:sz w:val="20"/>
                                      <w:szCs w:val="20"/>
                                    </w:rPr>
                                    <w:t>0</w:t>
                                  </w:r>
                                  <w:r w:rsidRPr="00B90078">
                                    <w:rPr>
                                      <w:rFonts w:asciiTheme="minorHAnsi" w:hAnsiTheme="minorHAnsi" w:cstheme="minorHAnsi"/>
                                      <w:b/>
                                      <w:bCs/>
                                      <w:sz w:val="20"/>
                                      <w:szCs w:val="20"/>
                                    </w:rPr>
                                    <w:t>7.06</w:t>
                                  </w:r>
                                  <w:r>
                                    <w:rPr>
                                      <w:rFonts w:asciiTheme="minorHAnsi" w:hAnsiTheme="minorHAnsi" w:cstheme="minorHAnsi"/>
                                      <w:b/>
                                      <w:bCs/>
                                      <w:sz w:val="20"/>
                                      <w:szCs w:val="20"/>
                                    </w:rPr>
                                    <w:t>:</w:t>
                                  </w:r>
                                  <w:r w:rsidRPr="00B90078">
                                    <w:rPr>
                                      <w:rFonts w:asciiTheme="minorHAnsi" w:hAnsiTheme="minorHAnsi" w:cstheme="minorHAnsi"/>
                                      <w:b/>
                                      <w:bCs/>
                                      <w:sz w:val="20"/>
                                      <w:szCs w:val="20"/>
                                    </w:rPr>
                                    <w:t xml:space="preserve"> </w:t>
                                  </w:r>
                                  <w:r w:rsidRPr="00B90078">
                                    <w:rPr>
                                      <w:rFonts w:asciiTheme="minorHAnsi" w:hAnsiTheme="minorHAnsi" w:cstheme="minorHAnsi"/>
                                      <w:sz w:val="20"/>
                                      <w:szCs w:val="20"/>
                                    </w:rPr>
                                    <w:t>No. of children we care for (excluding unaccompanied children)</w:t>
                                  </w:r>
                                </w:p>
                              </w:tc>
                              <w:tc>
                                <w:tcPr>
                                  <w:tcW w:w="744" w:type="pct"/>
                                  <w:vAlign w:val="center"/>
                                </w:tcPr>
                                <w:p w14:paraId="6CCD95E8" w14:textId="77777777" w:rsidR="00D37D86" w:rsidRDefault="00D37D86" w:rsidP="00793462">
                                  <w:pPr>
                                    <w:spacing w:before="10"/>
                                    <w:jc w:val="center"/>
                                    <w:rPr>
                                      <w:rFonts w:asciiTheme="minorHAnsi" w:hAnsiTheme="minorHAnsi" w:cstheme="minorHAnsi"/>
                                      <w:b/>
                                      <w:bCs/>
                                      <w:color w:val="FF0000"/>
                                      <w:sz w:val="20"/>
                                      <w:szCs w:val="20"/>
                                    </w:rPr>
                                  </w:pPr>
                                  <w:r w:rsidRPr="00AA75E1">
                                    <w:rPr>
                                      <w:rFonts w:asciiTheme="minorHAnsi" w:hAnsiTheme="minorHAnsi" w:cstheme="minorHAnsi"/>
                                      <w:b/>
                                      <w:bCs/>
                                      <w:sz w:val="20"/>
                                      <w:szCs w:val="20"/>
                                    </w:rPr>
                                    <w:t>Red</w:t>
                                  </w:r>
                                </w:p>
                              </w:tc>
                              <w:tc>
                                <w:tcPr>
                                  <w:tcW w:w="864" w:type="pct"/>
                                  <w:vAlign w:val="center"/>
                                </w:tcPr>
                                <w:p w14:paraId="25FCCF02" w14:textId="77777777" w:rsidR="00D37D86" w:rsidRPr="00B90078" w:rsidRDefault="00D37D86" w:rsidP="00793462">
                                  <w:pPr>
                                    <w:spacing w:before="10"/>
                                    <w:jc w:val="center"/>
                                    <w:rPr>
                                      <w:rFonts w:asciiTheme="minorHAnsi" w:hAnsiTheme="minorHAnsi" w:cstheme="minorHAnsi"/>
                                      <w:b/>
                                      <w:bCs/>
                                      <w:sz w:val="20"/>
                                      <w:szCs w:val="20"/>
                                    </w:rPr>
                                  </w:pPr>
                                  <w:r w:rsidRPr="00B90078">
                                    <w:rPr>
                                      <w:rFonts w:asciiTheme="minorHAnsi" w:hAnsiTheme="minorHAnsi" w:cstheme="minorHAnsi"/>
                                      <w:b/>
                                      <w:bCs/>
                                      <w:sz w:val="20"/>
                                      <w:szCs w:val="20"/>
                                    </w:rPr>
                                    <w:t>Kevin Gordon</w:t>
                                  </w:r>
                                </w:p>
                              </w:tc>
                            </w:tr>
                            <w:tr w:rsidR="00D37D86" w:rsidRPr="00431081" w14:paraId="42A2BC05" w14:textId="77777777" w:rsidTr="00793462">
                              <w:tc>
                                <w:tcPr>
                                  <w:tcW w:w="3392" w:type="pct"/>
                                </w:tcPr>
                                <w:p w14:paraId="47D40FE8" w14:textId="77777777" w:rsidR="00D37D86" w:rsidRPr="00B90078" w:rsidRDefault="00D37D86" w:rsidP="00793462">
                                  <w:pPr>
                                    <w:spacing w:before="10"/>
                                    <w:rPr>
                                      <w:rFonts w:asciiTheme="minorHAnsi" w:hAnsiTheme="minorHAnsi" w:cstheme="minorHAnsi"/>
                                      <w:b/>
                                      <w:bCs/>
                                      <w:sz w:val="20"/>
                                      <w:szCs w:val="20"/>
                                    </w:rPr>
                                  </w:pPr>
                                  <w:r w:rsidRPr="00B21A67">
                                    <w:rPr>
                                      <w:rFonts w:asciiTheme="minorHAnsi" w:hAnsiTheme="minorHAnsi" w:cstheme="minorHAnsi"/>
                                      <w:b/>
                                      <w:bCs/>
                                      <w:sz w:val="20"/>
                                      <w:szCs w:val="20"/>
                                    </w:rPr>
                                    <w:t>OCC07.10</w:t>
                                  </w:r>
                                  <w:r>
                                    <w:rPr>
                                      <w:rFonts w:asciiTheme="minorHAnsi" w:hAnsiTheme="minorHAnsi" w:cstheme="minorHAnsi"/>
                                      <w:b/>
                                      <w:bCs/>
                                      <w:sz w:val="20"/>
                                      <w:szCs w:val="20"/>
                                    </w:rPr>
                                    <w:t xml:space="preserve">: </w:t>
                                  </w:r>
                                  <w:r w:rsidRPr="00B21A67">
                                    <w:rPr>
                                      <w:rFonts w:asciiTheme="minorHAnsi" w:hAnsiTheme="minorHAnsi" w:cstheme="minorHAnsi"/>
                                      <w:sz w:val="20"/>
                                      <w:szCs w:val="20"/>
                                    </w:rPr>
                                    <w:t>% of Education Health &amp; Care Plans completed within 20 weeks</w:t>
                                  </w:r>
                                  <w:r w:rsidRPr="0015715A" w:rsidDel="003372CA">
                                    <w:rPr>
                                      <w:rFonts w:asciiTheme="minorHAnsi" w:hAnsiTheme="minorHAnsi" w:cstheme="minorHAnsi"/>
                                      <w:sz w:val="20"/>
                                      <w:szCs w:val="20"/>
                                    </w:rPr>
                                    <w:t xml:space="preserve"> </w:t>
                                  </w:r>
                                </w:p>
                              </w:tc>
                              <w:tc>
                                <w:tcPr>
                                  <w:tcW w:w="744" w:type="pct"/>
                                  <w:vAlign w:val="center"/>
                                </w:tcPr>
                                <w:p w14:paraId="2D73043C" w14:textId="77777777" w:rsidR="00D37D86" w:rsidRPr="00B90078" w:rsidRDefault="00D37D86" w:rsidP="00793462">
                                  <w:pPr>
                                    <w:spacing w:before="10"/>
                                    <w:jc w:val="center"/>
                                    <w:rPr>
                                      <w:rFonts w:asciiTheme="minorHAnsi" w:hAnsiTheme="minorHAnsi" w:cstheme="minorHAnsi"/>
                                      <w:b/>
                                      <w:bCs/>
                                      <w:color w:val="FF0000"/>
                                      <w:sz w:val="20"/>
                                      <w:szCs w:val="20"/>
                                    </w:rPr>
                                  </w:pPr>
                                  <w:r w:rsidRPr="00AA75E1">
                                    <w:rPr>
                                      <w:rFonts w:asciiTheme="minorHAnsi" w:hAnsiTheme="minorHAnsi" w:cstheme="minorHAnsi"/>
                                      <w:b/>
                                      <w:bCs/>
                                      <w:sz w:val="20"/>
                                      <w:szCs w:val="20"/>
                                    </w:rPr>
                                    <w:t>Red</w:t>
                                  </w:r>
                                </w:p>
                              </w:tc>
                              <w:tc>
                                <w:tcPr>
                                  <w:tcW w:w="864" w:type="pct"/>
                                  <w:vAlign w:val="center"/>
                                </w:tcPr>
                                <w:p w14:paraId="30763A2E" w14:textId="77777777" w:rsidR="00D37D86" w:rsidRPr="00B90078" w:rsidRDefault="00D37D86" w:rsidP="00793462">
                                  <w:pPr>
                                    <w:spacing w:before="10"/>
                                    <w:jc w:val="center"/>
                                    <w:rPr>
                                      <w:rFonts w:asciiTheme="minorHAnsi" w:hAnsiTheme="minorHAnsi" w:cstheme="minorHAnsi"/>
                                      <w:b/>
                                      <w:bCs/>
                                      <w:sz w:val="20"/>
                                      <w:szCs w:val="20"/>
                                    </w:rPr>
                                  </w:pPr>
                                  <w:r w:rsidRPr="00B90078">
                                    <w:rPr>
                                      <w:rFonts w:asciiTheme="minorHAnsi" w:hAnsiTheme="minorHAnsi" w:cstheme="minorHAnsi"/>
                                      <w:b/>
                                      <w:bCs/>
                                      <w:sz w:val="20"/>
                                      <w:szCs w:val="20"/>
                                    </w:rPr>
                                    <w:t>Kevin Gordon</w:t>
                                  </w:r>
                                </w:p>
                              </w:tc>
                            </w:tr>
                          </w:tbl>
                          <w:p w14:paraId="7813E654" w14:textId="77777777" w:rsidR="00D37D86" w:rsidRDefault="00D37D86" w:rsidP="00D37D86">
                            <w:pPr>
                              <w:pStyle w:val="Heading1"/>
                              <w:spacing w:before="157"/>
                              <w:ind w:left="786" w:hanging="786"/>
                              <w:jc w:val="both"/>
                              <w:rPr>
                                <w:b w:val="0"/>
                                <w:bCs w:val="0"/>
                                <w:sz w:val="24"/>
                                <w:szCs w:val="24"/>
                                <w:u w:val="none"/>
                              </w:rPr>
                            </w:pPr>
                          </w:p>
                          <w:p w14:paraId="2E780E8A" w14:textId="77777777" w:rsidR="00D37D86" w:rsidRDefault="00D37D86" w:rsidP="00D37D86">
                            <w:pPr>
                              <w:pStyle w:val="ListParagraph"/>
                              <w:spacing w:before="10"/>
                              <w:ind w:left="426" w:firstLine="0"/>
                              <w:rPr>
                                <w:sz w:val="24"/>
                                <w:szCs w:val="24"/>
                              </w:rPr>
                            </w:pPr>
                          </w:p>
                          <w:p w14:paraId="4ED29EDF" w14:textId="77777777" w:rsidR="00D37D86" w:rsidRDefault="00D37D86" w:rsidP="00D37D86">
                            <w:pPr>
                              <w:pStyle w:val="ListParagraph"/>
                              <w:spacing w:before="10"/>
                              <w:ind w:left="426" w:firstLine="0"/>
                              <w:rPr>
                                <w:sz w:val="24"/>
                                <w:szCs w:val="24"/>
                              </w:rPr>
                            </w:pPr>
                          </w:p>
                          <w:p w14:paraId="0125A995" w14:textId="77777777" w:rsidR="00D37D86" w:rsidRDefault="00D37D86" w:rsidP="00D37D86">
                            <w:pPr>
                              <w:pStyle w:val="ListParagraph"/>
                              <w:spacing w:before="10"/>
                              <w:ind w:left="426" w:firstLine="0"/>
                              <w:rPr>
                                <w:sz w:val="24"/>
                                <w:szCs w:val="24"/>
                              </w:rPr>
                            </w:pPr>
                          </w:p>
                          <w:p w14:paraId="1CE76111" w14:textId="77777777" w:rsidR="00D37D86" w:rsidRDefault="00D37D86" w:rsidP="00D37D86">
                            <w:pPr>
                              <w:pStyle w:val="ListParagraph"/>
                              <w:spacing w:before="10"/>
                              <w:ind w:left="426" w:firstLine="0"/>
                              <w:rPr>
                                <w:sz w:val="24"/>
                                <w:szCs w:val="24"/>
                              </w:rPr>
                            </w:pPr>
                          </w:p>
                          <w:p w14:paraId="73839BE5" w14:textId="77777777" w:rsidR="00D37D86" w:rsidRDefault="00D37D86" w:rsidP="00D37D86"/>
                          <w:p w14:paraId="1B0099EA" w14:textId="77777777" w:rsidR="00D37D86" w:rsidRDefault="00D37D86" w:rsidP="00D37D86"/>
                          <w:p w14:paraId="011D6FAB" w14:textId="77777777" w:rsidR="00D37D86" w:rsidRDefault="00D37D86" w:rsidP="00D37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E2280" id="Text Box 5" o:spid="_x0000_s1030" type="#_x0000_t202" alt="&quot;&quot;" style="position:absolute;left:0;text-align:left;margin-left:158.25pt;margin-top:.35pt;width:300.75pt;height:17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" fillcolor="window" strokeweight=".5pt">
                <v:textbox>
                  <w:txbxContent>
                    <w:p w14:paraId="246B5757" w14:textId="77777777" w:rsidR="00D37D86" w:rsidRPr="00431081" w:rsidRDefault="00D37D86" w:rsidP="00D37D86">
                      <w:pPr>
                        <w:jc w:val="both"/>
                        <w:rPr>
                          <w:rFonts w:asciiTheme="minorHAnsi" w:hAnsiTheme="minorHAnsi" w:cstheme="minorHAnsi"/>
                          <w:sz w:val="18"/>
                          <w:szCs w:val="18"/>
                        </w:rPr>
                      </w:pPr>
                      <w:r>
                        <w:rPr>
                          <w:rFonts w:asciiTheme="minorHAnsi" w:hAnsiTheme="minorHAnsi" w:cstheme="minorHAnsi"/>
                          <w:sz w:val="18"/>
                          <w:szCs w:val="18"/>
                        </w:rPr>
                        <w:t>T</w:t>
                      </w:r>
                      <w:r w:rsidRPr="00431081">
                        <w:rPr>
                          <w:rFonts w:asciiTheme="minorHAnsi" w:hAnsiTheme="minorHAnsi" w:cstheme="minorHAnsi"/>
                          <w:sz w:val="18"/>
                          <w:szCs w:val="18"/>
                        </w:rPr>
                        <w:t xml:space="preserve">able illustrates the measure </w:t>
                      </w:r>
                      <w:r>
                        <w:rPr>
                          <w:rFonts w:asciiTheme="minorHAnsi" w:hAnsiTheme="minorHAnsi" w:cstheme="minorHAnsi"/>
                          <w:sz w:val="18"/>
                          <w:szCs w:val="18"/>
                        </w:rPr>
                        <w:t xml:space="preserve">within </w:t>
                      </w:r>
                      <w:r w:rsidRPr="00431081">
                        <w:rPr>
                          <w:rFonts w:asciiTheme="minorHAnsi" w:hAnsiTheme="minorHAnsi" w:cstheme="minorHAnsi"/>
                          <w:b/>
                          <w:bCs/>
                          <w:sz w:val="18"/>
                          <w:szCs w:val="18"/>
                        </w:rPr>
                        <w:t>Priority OCC 0</w:t>
                      </w:r>
                      <w:r>
                        <w:rPr>
                          <w:rFonts w:asciiTheme="minorHAnsi" w:hAnsiTheme="minorHAnsi" w:cstheme="minorHAnsi"/>
                          <w:b/>
                          <w:bCs/>
                          <w:sz w:val="18"/>
                          <w:szCs w:val="18"/>
                        </w:rPr>
                        <w:t>7</w:t>
                      </w:r>
                      <w:r>
                        <w:rPr>
                          <w:rFonts w:asciiTheme="minorHAnsi" w:hAnsiTheme="minorHAnsi" w:cstheme="minorHAnsi"/>
                          <w:sz w:val="18"/>
                          <w:szCs w:val="18"/>
                        </w:rPr>
                        <w:t xml:space="preserve"> that are </w:t>
                      </w:r>
                      <w:r w:rsidRPr="00431081">
                        <w:rPr>
                          <w:rFonts w:asciiTheme="minorHAnsi" w:hAnsiTheme="minorHAnsi" w:cstheme="minorHAnsi"/>
                          <w:sz w:val="18"/>
                          <w:szCs w:val="18"/>
                        </w:rPr>
                        <w:t>performing under target and the RAG status.</w:t>
                      </w:r>
                    </w:p>
                    <w:tbl>
                      <w:tblPr>
                        <w:tblStyle w:val="TableGrid1"/>
                        <w:tblW w:w="4886" w:type="pct"/>
                        <w:tblLook w:val="04A0" w:firstRow="1" w:lastRow="0" w:firstColumn="1" w:lastColumn="0" w:noHBand="0" w:noVBand="1"/>
                      </w:tblPr>
                      <w:tblGrid>
                        <w:gridCol w:w="3794"/>
                        <w:gridCol w:w="832"/>
                        <w:gridCol w:w="966"/>
                      </w:tblGrid>
                      <w:tr w:rsidR="00D37D86" w:rsidRPr="00431081" w14:paraId="21063392" w14:textId="77777777" w:rsidTr="00793462">
                        <w:tc>
                          <w:tcPr>
                            <w:tcW w:w="3392" w:type="pct"/>
                          </w:tcPr>
                          <w:p w14:paraId="45026C9D" w14:textId="77777777" w:rsidR="00D37D86" w:rsidRPr="007D21C1" w:rsidRDefault="00D37D86" w:rsidP="00DD5E17">
                            <w:pPr>
                              <w:spacing w:before="10"/>
                              <w:jc w:val="both"/>
                              <w:rPr>
                                <w:rFonts w:asciiTheme="minorHAnsi" w:hAnsiTheme="minorHAnsi" w:cstheme="minorHAnsi"/>
                                <w:b/>
                                <w:bCs/>
                                <w:sz w:val="20"/>
                                <w:szCs w:val="20"/>
                              </w:rPr>
                            </w:pPr>
                            <w:r w:rsidRPr="007D21C1">
                              <w:rPr>
                                <w:rFonts w:asciiTheme="minorHAnsi" w:hAnsiTheme="minorHAnsi" w:cstheme="minorHAnsi"/>
                                <w:b/>
                                <w:bCs/>
                                <w:sz w:val="20"/>
                                <w:szCs w:val="20"/>
                              </w:rPr>
                              <w:t>Measure:</w:t>
                            </w:r>
                            <w:r>
                              <w:rPr>
                                <w:rFonts w:asciiTheme="minorHAnsi" w:hAnsiTheme="minorHAnsi" w:cstheme="minorHAnsi"/>
                                <w:b/>
                                <w:bCs/>
                                <w:sz w:val="20"/>
                                <w:szCs w:val="20"/>
                              </w:rPr>
                              <w:t xml:space="preserve"> </w:t>
                            </w:r>
                          </w:p>
                        </w:tc>
                        <w:tc>
                          <w:tcPr>
                            <w:tcW w:w="744" w:type="pct"/>
                            <w:vAlign w:val="center"/>
                          </w:tcPr>
                          <w:p w14:paraId="090D8BDE" w14:textId="77777777" w:rsidR="00D37D86" w:rsidRPr="007D21C1" w:rsidRDefault="00D37D86" w:rsidP="00DD5E17">
                            <w:pPr>
                              <w:spacing w:before="10"/>
                              <w:rPr>
                                <w:rFonts w:asciiTheme="minorHAnsi" w:hAnsiTheme="minorHAnsi" w:cstheme="minorHAnsi"/>
                                <w:b/>
                                <w:bCs/>
                                <w:sz w:val="20"/>
                                <w:szCs w:val="20"/>
                              </w:rPr>
                            </w:pPr>
                            <w:r w:rsidRPr="007D21C1">
                              <w:rPr>
                                <w:rFonts w:asciiTheme="minorHAnsi" w:hAnsiTheme="minorHAnsi" w:cstheme="minorHAnsi"/>
                                <w:b/>
                                <w:bCs/>
                                <w:sz w:val="20"/>
                                <w:szCs w:val="20"/>
                              </w:rPr>
                              <w:t>Status:</w:t>
                            </w:r>
                          </w:p>
                        </w:tc>
                        <w:tc>
                          <w:tcPr>
                            <w:tcW w:w="864" w:type="pct"/>
                          </w:tcPr>
                          <w:p w14:paraId="67BB8C67" w14:textId="77777777" w:rsidR="00D37D86" w:rsidRPr="007D21C1" w:rsidRDefault="00D37D86" w:rsidP="00DD5E17">
                            <w:pPr>
                              <w:spacing w:before="10"/>
                              <w:rPr>
                                <w:rFonts w:asciiTheme="minorHAnsi" w:hAnsiTheme="minorHAnsi" w:cstheme="minorHAnsi"/>
                                <w:b/>
                                <w:bCs/>
                                <w:sz w:val="20"/>
                                <w:szCs w:val="20"/>
                              </w:rPr>
                            </w:pPr>
                            <w:r w:rsidRPr="007D21C1">
                              <w:rPr>
                                <w:rFonts w:asciiTheme="minorHAnsi" w:hAnsiTheme="minorHAnsi" w:cstheme="minorHAnsi"/>
                                <w:b/>
                                <w:bCs/>
                                <w:sz w:val="20"/>
                                <w:szCs w:val="20"/>
                              </w:rPr>
                              <w:t>Director:</w:t>
                            </w:r>
                          </w:p>
                        </w:tc>
                      </w:tr>
                      <w:tr w:rsidR="00D37D86" w:rsidRPr="00431081" w14:paraId="7A96F70E" w14:textId="77777777" w:rsidTr="00793462">
                        <w:tc>
                          <w:tcPr>
                            <w:tcW w:w="3392" w:type="pct"/>
                            <w:vAlign w:val="center"/>
                          </w:tcPr>
                          <w:p w14:paraId="05F52DF3" w14:textId="77777777" w:rsidR="00D37D86" w:rsidRPr="00244F50" w:rsidRDefault="00D37D86" w:rsidP="00793462">
                            <w:pPr>
                              <w:spacing w:before="10"/>
                              <w:rPr>
                                <w:rFonts w:asciiTheme="minorHAnsi" w:hAnsiTheme="minorHAnsi" w:cstheme="minorHAnsi"/>
                                <w:sz w:val="20"/>
                                <w:szCs w:val="20"/>
                                <w:highlight w:val="yellow"/>
                              </w:rPr>
                            </w:pPr>
                            <w:r w:rsidRPr="00B90078">
                              <w:rPr>
                                <w:rFonts w:asciiTheme="minorHAnsi" w:hAnsiTheme="minorHAnsi" w:cstheme="minorHAnsi"/>
                                <w:b/>
                                <w:bCs/>
                                <w:sz w:val="20"/>
                                <w:szCs w:val="20"/>
                              </w:rPr>
                              <w:t>OCC</w:t>
                            </w:r>
                            <w:r w:rsidRPr="00A414FC">
                              <w:rPr>
                                <w:rFonts w:asciiTheme="minorHAnsi" w:hAnsiTheme="minorHAnsi" w:cstheme="minorHAnsi"/>
                                <w:b/>
                                <w:bCs/>
                                <w:sz w:val="20"/>
                                <w:szCs w:val="20"/>
                              </w:rPr>
                              <w:t>0</w:t>
                            </w:r>
                            <w:r w:rsidRPr="00B90078">
                              <w:rPr>
                                <w:rFonts w:asciiTheme="minorHAnsi" w:hAnsiTheme="minorHAnsi" w:cstheme="minorHAnsi"/>
                                <w:b/>
                                <w:bCs/>
                                <w:sz w:val="20"/>
                                <w:szCs w:val="20"/>
                              </w:rPr>
                              <w:t xml:space="preserve">7.01: </w:t>
                            </w:r>
                            <w:r w:rsidRPr="00B90078">
                              <w:rPr>
                                <w:rFonts w:asciiTheme="minorHAnsi" w:hAnsiTheme="minorHAnsi" w:cstheme="minorHAnsi"/>
                                <w:sz w:val="20"/>
                                <w:szCs w:val="20"/>
                              </w:rPr>
                              <w:t>Number of Contacts into the MASH</w:t>
                            </w:r>
                          </w:p>
                        </w:tc>
                        <w:tc>
                          <w:tcPr>
                            <w:tcW w:w="744" w:type="pct"/>
                            <w:vAlign w:val="center"/>
                          </w:tcPr>
                          <w:p w14:paraId="29F088D0" w14:textId="77777777" w:rsidR="00D37D86" w:rsidRPr="00244F50" w:rsidRDefault="00D37D86" w:rsidP="00793462">
                            <w:pPr>
                              <w:spacing w:before="10"/>
                              <w:jc w:val="center"/>
                              <w:rPr>
                                <w:rFonts w:asciiTheme="minorHAnsi" w:hAnsiTheme="minorHAnsi" w:cstheme="minorHAnsi"/>
                                <w:b/>
                                <w:bCs/>
                                <w:sz w:val="20"/>
                                <w:szCs w:val="20"/>
                                <w:highlight w:val="yellow"/>
                              </w:rPr>
                            </w:pPr>
                            <w:r w:rsidRPr="00AA75E1">
                              <w:rPr>
                                <w:rFonts w:asciiTheme="minorHAnsi" w:hAnsiTheme="minorHAnsi" w:cstheme="minorHAnsi"/>
                                <w:b/>
                                <w:bCs/>
                                <w:sz w:val="20"/>
                                <w:szCs w:val="20"/>
                              </w:rPr>
                              <w:t>Red</w:t>
                            </w:r>
                          </w:p>
                        </w:tc>
                        <w:tc>
                          <w:tcPr>
                            <w:tcW w:w="864" w:type="pct"/>
                            <w:vAlign w:val="center"/>
                          </w:tcPr>
                          <w:p w14:paraId="0BBD5C9F" w14:textId="77777777" w:rsidR="00D37D86" w:rsidRPr="00244F50" w:rsidRDefault="00D37D86" w:rsidP="00793462">
                            <w:pPr>
                              <w:spacing w:before="10"/>
                              <w:jc w:val="center"/>
                              <w:rPr>
                                <w:rFonts w:asciiTheme="minorHAnsi" w:hAnsiTheme="minorHAnsi" w:cstheme="minorHAnsi"/>
                                <w:b/>
                                <w:bCs/>
                                <w:sz w:val="20"/>
                                <w:szCs w:val="20"/>
                                <w:highlight w:val="yellow"/>
                              </w:rPr>
                            </w:pPr>
                            <w:r w:rsidRPr="00B90078">
                              <w:rPr>
                                <w:rFonts w:asciiTheme="minorHAnsi" w:hAnsiTheme="minorHAnsi" w:cstheme="minorHAnsi"/>
                                <w:b/>
                                <w:bCs/>
                                <w:sz w:val="20"/>
                                <w:szCs w:val="20"/>
                              </w:rPr>
                              <w:t>Kevin Gordon</w:t>
                            </w:r>
                          </w:p>
                        </w:tc>
                      </w:tr>
                      <w:tr w:rsidR="00D37D86" w:rsidRPr="00431081" w14:paraId="6FDFC035" w14:textId="77777777" w:rsidTr="00793462">
                        <w:tc>
                          <w:tcPr>
                            <w:tcW w:w="3392" w:type="pct"/>
                            <w:vAlign w:val="center"/>
                          </w:tcPr>
                          <w:p w14:paraId="0C90D63D" w14:textId="77777777" w:rsidR="00D37D86" w:rsidRPr="0022450C" w:rsidRDefault="00D37D86" w:rsidP="00793462">
                            <w:pPr>
                              <w:spacing w:before="10"/>
                              <w:rPr>
                                <w:rFonts w:asciiTheme="minorHAnsi" w:hAnsiTheme="minorHAnsi" w:cstheme="minorHAnsi"/>
                                <w:sz w:val="20"/>
                                <w:szCs w:val="20"/>
                              </w:rPr>
                            </w:pPr>
                            <w:r w:rsidRPr="00B90078">
                              <w:rPr>
                                <w:rFonts w:asciiTheme="minorHAnsi" w:hAnsiTheme="minorHAnsi" w:cstheme="minorHAnsi"/>
                                <w:b/>
                                <w:bCs/>
                                <w:sz w:val="20"/>
                                <w:szCs w:val="20"/>
                              </w:rPr>
                              <w:t>OCC</w:t>
                            </w:r>
                            <w:r w:rsidRPr="00A414FC">
                              <w:rPr>
                                <w:rFonts w:asciiTheme="minorHAnsi" w:hAnsiTheme="minorHAnsi" w:cstheme="minorHAnsi"/>
                                <w:b/>
                                <w:bCs/>
                                <w:sz w:val="20"/>
                                <w:szCs w:val="20"/>
                              </w:rPr>
                              <w:t>0</w:t>
                            </w:r>
                            <w:r w:rsidRPr="00B90078">
                              <w:rPr>
                                <w:rFonts w:asciiTheme="minorHAnsi" w:hAnsiTheme="minorHAnsi" w:cstheme="minorHAnsi"/>
                                <w:b/>
                                <w:bCs/>
                                <w:sz w:val="20"/>
                                <w:szCs w:val="20"/>
                              </w:rPr>
                              <w:t>7.0</w:t>
                            </w:r>
                            <w:r>
                              <w:rPr>
                                <w:rFonts w:asciiTheme="minorHAnsi" w:hAnsiTheme="minorHAnsi" w:cstheme="minorHAnsi"/>
                                <w:b/>
                                <w:bCs/>
                                <w:sz w:val="20"/>
                                <w:szCs w:val="20"/>
                              </w:rPr>
                              <w:t>2</w:t>
                            </w:r>
                            <w:r w:rsidRPr="00B90078">
                              <w:rPr>
                                <w:rFonts w:asciiTheme="minorHAnsi" w:hAnsiTheme="minorHAnsi" w:cstheme="minorHAnsi"/>
                                <w:b/>
                                <w:bCs/>
                                <w:sz w:val="20"/>
                                <w:szCs w:val="20"/>
                              </w:rPr>
                              <w:t xml:space="preserve">: </w:t>
                            </w:r>
                            <w:r>
                              <w:rPr>
                                <w:rFonts w:asciiTheme="minorHAnsi" w:hAnsiTheme="minorHAnsi" w:cstheme="minorHAnsi"/>
                                <w:sz w:val="20"/>
                                <w:szCs w:val="20"/>
                              </w:rPr>
                              <w:t>Number of early help assessments</w:t>
                            </w:r>
                          </w:p>
                        </w:tc>
                        <w:tc>
                          <w:tcPr>
                            <w:tcW w:w="744" w:type="pct"/>
                            <w:vAlign w:val="center"/>
                          </w:tcPr>
                          <w:p w14:paraId="2B77A945" w14:textId="77777777" w:rsidR="00D37D86" w:rsidRPr="007D21C1" w:rsidRDefault="00D37D86" w:rsidP="00793462">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864" w:type="pct"/>
                            <w:vAlign w:val="center"/>
                          </w:tcPr>
                          <w:p w14:paraId="28A57E01" w14:textId="77777777" w:rsidR="00D37D86" w:rsidRPr="007D21C1" w:rsidRDefault="00D37D86" w:rsidP="00793462">
                            <w:pPr>
                              <w:spacing w:before="10"/>
                              <w:jc w:val="center"/>
                              <w:rPr>
                                <w:rFonts w:asciiTheme="minorHAnsi" w:hAnsiTheme="minorHAnsi" w:cstheme="minorHAnsi"/>
                                <w:b/>
                                <w:bCs/>
                                <w:sz w:val="20"/>
                                <w:szCs w:val="20"/>
                              </w:rPr>
                            </w:pPr>
                            <w:r w:rsidRPr="00B90078">
                              <w:rPr>
                                <w:rFonts w:asciiTheme="minorHAnsi" w:hAnsiTheme="minorHAnsi" w:cstheme="minorHAnsi"/>
                                <w:b/>
                                <w:bCs/>
                                <w:sz w:val="20"/>
                                <w:szCs w:val="20"/>
                              </w:rPr>
                              <w:t>Kevin Gordon</w:t>
                            </w:r>
                          </w:p>
                        </w:tc>
                      </w:tr>
                      <w:tr w:rsidR="00D37D86" w:rsidRPr="00431081" w14:paraId="09907149" w14:textId="77777777" w:rsidTr="00793462">
                        <w:tc>
                          <w:tcPr>
                            <w:tcW w:w="3392" w:type="pct"/>
                            <w:vAlign w:val="center"/>
                          </w:tcPr>
                          <w:p w14:paraId="75DD94E8" w14:textId="77777777" w:rsidR="00D37D86" w:rsidRPr="00CE27CE" w:rsidRDefault="00D37D86" w:rsidP="00793462">
                            <w:pPr>
                              <w:spacing w:before="10"/>
                              <w:rPr>
                                <w:rFonts w:asciiTheme="minorHAnsi" w:hAnsiTheme="minorHAnsi" w:cstheme="minorHAnsi"/>
                                <w:b/>
                                <w:bCs/>
                                <w:sz w:val="20"/>
                                <w:szCs w:val="20"/>
                              </w:rPr>
                            </w:pPr>
                            <w:r w:rsidRPr="00B21A67">
                              <w:rPr>
                                <w:rFonts w:asciiTheme="minorHAnsi" w:hAnsiTheme="minorHAnsi" w:cstheme="minorHAnsi"/>
                                <w:b/>
                                <w:bCs/>
                                <w:sz w:val="20"/>
                                <w:szCs w:val="20"/>
                              </w:rPr>
                              <w:t>OCC07.03</w:t>
                            </w:r>
                            <w:r>
                              <w:rPr>
                                <w:rFonts w:asciiTheme="minorHAnsi" w:hAnsiTheme="minorHAnsi" w:cstheme="minorHAnsi"/>
                                <w:b/>
                                <w:bCs/>
                                <w:sz w:val="20"/>
                                <w:szCs w:val="20"/>
                              </w:rPr>
                              <w:t>:</w:t>
                            </w:r>
                            <w:r>
                              <w:rPr>
                                <w:b/>
                                <w:bCs/>
                                <w:sz w:val="20"/>
                                <w:szCs w:val="20"/>
                              </w:rPr>
                              <w:t xml:space="preserve"> </w:t>
                            </w:r>
                            <w:r w:rsidRPr="00B21A67">
                              <w:rPr>
                                <w:rFonts w:asciiTheme="minorHAnsi" w:hAnsiTheme="minorHAnsi" w:cstheme="minorHAnsi"/>
                                <w:sz w:val="20"/>
                                <w:szCs w:val="20"/>
                              </w:rPr>
                              <w:t>Number of early help</w:t>
                            </w:r>
                            <w:r>
                              <w:rPr>
                                <w:rFonts w:asciiTheme="minorHAnsi" w:hAnsiTheme="minorHAnsi" w:cstheme="minorHAnsi"/>
                                <w:sz w:val="20"/>
                                <w:szCs w:val="20"/>
                              </w:rPr>
                              <w:t xml:space="preserve"> </w:t>
                            </w:r>
                            <w:r w:rsidRPr="00B21A67">
                              <w:rPr>
                                <w:rFonts w:asciiTheme="minorHAnsi" w:hAnsiTheme="minorHAnsi" w:cstheme="minorHAnsi"/>
                                <w:sz w:val="20"/>
                                <w:szCs w:val="20"/>
                              </w:rPr>
                              <w:t>assessments</w:t>
                            </w:r>
                            <w:r>
                              <w:rPr>
                                <w:rFonts w:asciiTheme="minorHAnsi" w:hAnsiTheme="minorHAnsi" w:cstheme="minorHAnsi"/>
                                <w:sz w:val="20"/>
                                <w:szCs w:val="20"/>
                              </w:rPr>
                              <w:t xml:space="preserve"> </w:t>
                            </w:r>
                            <w:r w:rsidRPr="00B21A67">
                              <w:rPr>
                                <w:rFonts w:asciiTheme="minorHAnsi" w:hAnsiTheme="minorHAnsi" w:cstheme="minorHAnsi"/>
                                <w:sz w:val="20"/>
                                <w:szCs w:val="20"/>
                              </w:rPr>
                              <w:t>completed by health visitors</w:t>
                            </w:r>
                          </w:p>
                        </w:tc>
                        <w:tc>
                          <w:tcPr>
                            <w:tcW w:w="744" w:type="pct"/>
                            <w:vAlign w:val="center"/>
                          </w:tcPr>
                          <w:p w14:paraId="50A67899" w14:textId="77777777" w:rsidR="00D37D86" w:rsidRPr="00B3760C" w:rsidRDefault="00D37D86" w:rsidP="00793462">
                            <w:pPr>
                              <w:spacing w:before="10"/>
                              <w:jc w:val="center"/>
                              <w:rPr>
                                <w:rFonts w:asciiTheme="minorHAnsi" w:hAnsiTheme="minorHAnsi" w:cstheme="minorHAnsi"/>
                                <w:b/>
                                <w:bCs/>
                                <w:color w:val="FFC000"/>
                                <w:sz w:val="20"/>
                                <w:szCs w:val="20"/>
                              </w:rPr>
                            </w:pPr>
                            <w:r w:rsidRPr="00AA75E1">
                              <w:rPr>
                                <w:rFonts w:asciiTheme="minorHAnsi" w:hAnsiTheme="minorHAnsi" w:cstheme="minorHAnsi"/>
                                <w:b/>
                                <w:bCs/>
                                <w:sz w:val="20"/>
                                <w:szCs w:val="20"/>
                              </w:rPr>
                              <w:t>Red</w:t>
                            </w:r>
                          </w:p>
                        </w:tc>
                        <w:tc>
                          <w:tcPr>
                            <w:tcW w:w="864" w:type="pct"/>
                            <w:vAlign w:val="center"/>
                          </w:tcPr>
                          <w:p w14:paraId="1D6D6A37" w14:textId="77777777" w:rsidR="00D37D86" w:rsidRPr="00A749C5" w:rsidRDefault="00D37D86" w:rsidP="00793462">
                            <w:pPr>
                              <w:spacing w:before="10"/>
                              <w:jc w:val="center"/>
                              <w:rPr>
                                <w:rFonts w:asciiTheme="minorHAnsi" w:hAnsiTheme="minorHAnsi" w:cstheme="minorHAnsi"/>
                                <w:b/>
                                <w:bCs/>
                                <w:sz w:val="20"/>
                                <w:szCs w:val="20"/>
                              </w:rPr>
                            </w:pPr>
                            <w:r w:rsidRPr="00B90078">
                              <w:rPr>
                                <w:rFonts w:asciiTheme="minorHAnsi" w:hAnsiTheme="minorHAnsi" w:cstheme="minorHAnsi"/>
                                <w:b/>
                                <w:bCs/>
                                <w:sz w:val="20"/>
                                <w:szCs w:val="20"/>
                              </w:rPr>
                              <w:t>Kevin Gordon</w:t>
                            </w:r>
                          </w:p>
                        </w:tc>
                      </w:tr>
                      <w:tr w:rsidR="00D37D86" w:rsidRPr="00431081" w14:paraId="6E9E3E97" w14:textId="77777777" w:rsidTr="00793462">
                        <w:tc>
                          <w:tcPr>
                            <w:tcW w:w="3392" w:type="pct"/>
                            <w:vAlign w:val="center"/>
                          </w:tcPr>
                          <w:p w14:paraId="0556C4EE" w14:textId="77777777" w:rsidR="00D37D86" w:rsidRPr="00B21A67" w:rsidRDefault="00D37D86" w:rsidP="00793462">
                            <w:pPr>
                              <w:spacing w:before="10"/>
                              <w:rPr>
                                <w:rFonts w:asciiTheme="minorHAnsi" w:hAnsiTheme="minorHAnsi" w:cstheme="minorHAnsi"/>
                                <w:b/>
                                <w:bCs/>
                                <w:sz w:val="20"/>
                                <w:szCs w:val="20"/>
                              </w:rPr>
                            </w:pPr>
                            <w:r w:rsidRPr="00B90078">
                              <w:rPr>
                                <w:rFonts w:asciiTheme="minorHAnsi" w:hAnsiTheme="minorHAnsi" w:cstheme="minorHAnsi"/>
                                <w:b/>
                                <w:bCs/>
                                <w:sz w:val="20"/>
                                <w:szCs w:val="20"/>
                              </w:rPr>
                              <w:t>OCC</w:t>
                            </w:r>
                            <w:r>
                              <w:rPr>
                                <w:rFonts w:asciiTheme="minorHAnsi" w:hAnsiTheme="minorHAnsi" w:cstheme="minorHAnsi"/>
                                <w:b/>
                                <w:bCs/>
                                <w:sz w:val="20"/>
                                <w:szCs w:val="20"/>
                              </w:rPr>
                              <w:t>0</w:t>
                            </w:r>
                            <w:r w:rsidRPr="00B90078">
                              <w:rPr>
                                <w:rFonts w:asciiTheme="minorHAnsi" w:hAnsiTheme="minorHAnsi" w:cstheme="minorHAnsi"/>
                                <w:b/>
                                <w:bCs/>
                                <w:sz w:val="20"/>
                                <w:szCs w:val="20"/>
                              </w:rPr>
                              <w:t>7.06</w:t>
                            </w:r>
                            <w:r>
                              <w:rPr>
                                <w:rFonts w:asciiTheme="minorHAnsi" w:hAnsiTheme="minorHAnsi" w:cstheme="minorHAnsi"/>
                                <w:b/>
                                <w:bCs/>
                                <w:sz w:val="20"/>
                                <w:szCs w:val="20"/>
                              </w:rPr>
                              <w:t>:</w:t>
                            </w:r>
                            <w:r w:rsidRPr="00B90078">
                              <w:rPr>
                                <w:rFonts w:asciiTheme="minorHAnsi" w:hAnsiTheme="minorHAnsi" w:cstheme="minorHAnsi"/>
                                <w:b/>
                                <w:bCs/>
                                <w:sz w:val="20"/>
                                <w:szCs w:val="20"/>
                              </w:rPr>
                              <w:t xml:space="preserve"> </w:t>
                            </w:r>
                            <w:r w:rsidRPr="00B90078">
                              <w:rPr>
                                <w:rFonts w:asciiTheme="minorHAnsi" w:hAnsiTheme="minorHAnsi" w:cstheme="minorHAnsi"/>
                                <w:sz w:val="20"/>
                                <w:szCs w:val="20"/>
                              </w:rPr>
                              <w:t>No. of children we care for (excluding unaccompanied children)</w:t>
                            </w:r>
                          </w:p>
                        </w:tc>
                        <w:tc>
                          <w:tcPr>
                            <w:tcW w:w="744" w:type="pct"/>
                            <w:vAlign w:val="center"/>
                          </w:tcPr>
                          <w:p w14:paraId="6CCD95E8" w14:textId="77777777" w:rsidR="00D37D86" w:rsidRDefault="00D37D86" w:rsidP="00793462">
                            <w:pPr>
                              <w:spacing w:before="10"/>
                              <w:jc w:val="center"/>
                              <w:rPr>
                                <w:rFonts w:asciiTheme="minorHAnsi" w:hAnsiTheme="minorHAnsi" w:cstheme="minorHAnsi"/>
                                <w:b/>
                                <w:bCs/>
                                <w:color w:val="FF0000"/>
                                <w:sz w:val="20"/>
                                <w:szCs w:val="20"/>
                              </w:rPr>
                            </w:pPr>
                            <w:r w:rsidRPr="00AA75E1">
                              <w:rPr>
                                <w:rFonts w:asciiTheme="minorHAnsi" w:hAnsiTheme="minorHAnsi" w:cstheme="minorHAnsi"/>
                                <w:b/>
                                <w:bCs/>
                                <w:sz w:val="20"/>
                                <w:szCs w:val="20"/>
                              </w:rPr>
                              <w:t>Red</w:t>
                            </w:r>
                          </w:p>
                        </w:tc>
                        <w:tc>
                          <w:tcPr>
                            <w:tcW w:w="864" w:type="pct"/>
                            <w:vAlign w:val="center"/>
                          </w:tcPr>
                          <w:p w14:paraId="25FCCF02" w14:textId="77777777" w:rsidR="00D37D86" w:rsidRPr="00B90078" w:rsidRDefault="00D37D86" w:rsidP="00793462">
                            <w:pPr>
                              <w:spacing w:before="10"/>
                              <w:jc w:val="center"/>
                              <w:rPr>
                                <w:rFonts w:asciiTheme="minorHAnsi" w:hAnsiTheme="minorHAnsi" w:cstheme="minorHAnsi"/>
                                <w:b/>
                                <w:bCs/>
                                <w:sz w:val="20"/>
                                <w:szCs w:val="20"/>
                              </w:rPr>
                            </w:pPr>
                            <w:r w:rsidRPr="00B90078">
                              <w:rPr>
                                <w:rFonts w:asciiTheme="minorHAnsi" w:hAnsiTheme="minorHAnsi" w:cstheme="minorHAnsi"/>
                                <w:b/>
                                <w:bCs/>
                                <w:sz w:val="20"/>
                                <w:szCs w:val="20"/>
                              </w:rPr>
                              <w:t>Kevin Gordon</w:t>
                            </w:r>
                          </w:p>
                        </w:tc>
                      </w:tr>
                      <w:tr w:rsidR="00D37D86" w:rsidRPr="00431081" w14:paraId="42A2BC05" w14:textId="77777777" w:rsidTr="00793462">
                        <w:tc>
                          <w:tcPr>
                            <w:tcW w:w="3392" w:type="pct"/>
                          </w:tcPr>
                          <w:p w14:paraId="47D40FE8" w14:textId="77777777" w:rsidR="00D37D86" w:rsidRPr="00B90078" w:rsidRDefault="00D37D86" w:rsidP="00793462">
                            <w:pPr>
                              <w:spacing w:before="10"/>
                              <w:rPr>
                                <w:rFonts w:asciiTheme="minorHAnsi" w:hAnsiTheme="minorHAnsi" w:cstheme="minorHAnsi"/>
                                <w:b/>
                                <w:bCs/>
                                <w:sz w:val="20"/>
                                <w:szCs w:val="20"/>
                              </w:rPr>
                            </w:pPr>
                            <w:r w:rsidRPr="00B21A67">
                              <w:rPr>
                                <w:rFonts w:asciiTheme="minorHAnsi" w:hAnsiTheme="minorHAnsi" w:cstheme="minorHAnsi"/>
                                <w:b/>
                                <w:bCs/>
                                <w:sz w:val="20"/>
                                <w:szCs w:val="20"/>
                              </w:rPr>
                              <w:t>OCC07.10</w:t>
                            </w:r>
                            <w:r>
                              <w:rPr>
                                <w:rFonts w:asciiTheme="minorHAnsi" w:hAnsiTheme="minorHAnsi" w:cstheme="minorHAnsi"/>
                                <w:b/>
                                <w:bCs/>
                                <w:sz w:val="20"/>
                                <w:szCs w:val="20"/>
                              </w:rPr>
                              <w:t xml:space="preserve">: </w:t>
                            </w:r>
                            <w:r w:rsidRPr="00B21A67">
                              <w:rPr>
                                <w:rFonts w:asciiTheme="minorHAnsi" w:hAnsiTheme="minorHAnsi" w:cstheme="minorHAnsi"/>
                                <w:sz w:val="20"/>
                                <w:szCs w:val="20"/>
                              </w:rPr>
                              <w:t>% of Education Health &amp; Care Plans completed within 20 weeks</w:t>
                            </w:r>
                            <w:r w:rsidRPr="0015715A" w:rsidDel="003372CA">
                              <w:rPr>
                                <w:rFonts w:asciiTheme="minorHAnsi" w:hAnsiTheme="minorHAnsi" w:cstheme="minorHAnsi"/>
                                <w:sz w:val="20"/>
                                <w:szCs w:val="20"/>
                              </w:rPr>
                              <w:t xml:space="preserve"> </w:t>
                            </w:r>
                          </w:p>
                        </w:tc>
                        <w:tc>
                          <w:tcPr>
                            <w:tcW w:w="744" w:type="pct"/>
                            <w:vAlign w:val="center"/>
                          </w:tcPr>
                          <w:p w14:paraId="2D73043C" w14:textId="77777777" w:rsidR="00D37D86" w:rsidRPr="00B90078" w:rsidRDefault="00D37D86" w:rsidP="00793462">
                            <w:pPr>
                              <w:spacing w:before="10"/>
                              <w:jc w:val="center"/>
                              <w:rPr>
                                <w:rFonts w:asciiTheme="minorHAnsi" w:hAnsiTheme="minorHAnsi" w:cstheme="minorHAnsi"/>
                                <w:b/>
                                <w:bCs/>
                                <w:color w:val="FF0000"/>
                                <w:sz w:val="20"/>
                                <w:szCs w:val="20"/>
                              </w:rPr>
                            </w:pPr>
                            <w:r w:rsidRPr="00AA75E1">
                              <w:rPr>
                                <w:rFonts w:asciiTheme="minorHAnsi" w:hAnsiTheme="minorHAnsi" w:cstheme="minorHAnsi"/>
                                <w:b/>
                                <w:bCs/>
                                <w:sz w:val="20"/>
                                <w:szCs w:val="20"/>
                              </w:rPr>
                              <w:t>Red</w:t>
                            </w:r>
                          </w:p>
                        </w:tc>
                        <w:tc>
                          <w:tcPr>
                            <w:tcW w:w="864" w:type="pct"/>
                            <w:vAlign w:val="center"/>
                          </w:tcPr>
                          <w:p w14:paraId="30763A2E" w14:textId="77777777" w:rsidR="00D37D86" w:rsidRPr="00B90078" w:rsidRDefault="00D37D86" w:rsidP="00793462">
                            <w:pPr>
                              <w:spacing w:before="10"/>
                              <w:jc w:val="center"/>
                              <w:rPr>
                                <w:rFonts w:asciiTheme="minorHAnsi" w:hAnsiTheme="minorHAnsi" w:cstheme="minorHAnsi"/>
                                <w:b/>
                                <w:bCs/>
                                <w:sz w:val="20"/>
                                <w:szCs w:val="20"/>
                              </w:rPr>
                            </w:pPr>
                            <w:r w:rsidRPr="00B90078">
                              <w:rPr>
                                <w:rFonts w:asciiTheme="minorHAnsi" w:hAnsiTheme="minorHAnsi" w:cstheme="minorHAnsi"/>
                                <w:b/>
                                <w:bCs/>
                                <w:sz w:val="20"/>
                                <w:szCs w:val="20"/>
                              </w:rPr>
                              <w:t>Kevin Gordon</w:t>
                            </w:r>
                          </w:p>
                        </w:tc>
                      </w:tr>
                    </w:tbl>
                    <w:p w14:paraId="7813E654" w14:textId="77777777" w:rsidR="00D37D86" w:rsidRDefault="00D37D86" w:rsidP="00D37D86">
                      <w:pPr>
                        <w:pStyle w:val="Heading1"/>
                        <w:spacing w:before="157"/>
                        <w:ind w:left="786" w:hanging="786"/>
                        <w:jc w:val="both"/>
                        <w:rPr>
                          <w:b w:val="0"/>
                          <w:bCs w:val="0"/>
                          <w:sz w:val="24"/>
                          <w:szCs w:val="24"/>
                          <w:u w:val="none"/>
                        </w:rPr>
                      </w:pPr>
                    </w:p>
                    <w:p w14:paraId="2E780E8A" w14:textId="77777777" w:rsidR="00D37D86" w:rsidRDefault="00D37D86" w:rsidP="00D37D86">
                      <w:pPr>
                        <w:pStyle w:val="ListParagraph"/>
                        <w:spacing w:before="10"/>
                        <w:ind w:left="426" w:firstLine="0"/>
                        <w:rPr>
                          <w:sz w:val="24"/>
                          <w:szCs w:val="24"/>
                        </w:rPr>
                      </w:pPr>
                    </w:p>
                    <w:p w14:paraId="4ED29EDF" w14:textId="77777777" w:rsidR="00D37D86" w:rsidRDefault="00D37D86" w:rsidP="00D37D86">
                      <w:pPr>
                        <w:pStyle w:val="ListParagraph"/>
                        <w:spacing w:before="10"/>
                        <w:ind w:left="426" w:firstLine="0"/>
                        <w:rPr>
                          <w:sz w:val="24"/>
                          <w:szCs w:val="24"/>
                        </w:rPr>
                      </w:pPr>
                    </w:p>
                    <w:p w14:paraId="0125A995" w14:textId="77777777" w:rsidR="00D37D86" w:rsidRDefault="00D37D86" w:rsidP="00D37D86">
                      <w:pPr>
                        <w:pStyle w:val="ListParagraph"/>
                        <w:spacing w:before="10"/>
                        <w:ind w:left="426" w:firstLine="0"/>
                        <w:rPr>
                          <w:sz w:val="24"/>
                          <w:szCs w:val="24"/>
                        </w:rPr>
                      </w:pPr>
                    </w:p>
                    <w:p w14:paraId="1CE76111" w14:textId="77777777" w:rsidR="00D37D86" w:rsidRDefault="00D37D86" w:rsidP="00D37D86">
                      <w:pPr>
                        <w:pStyle w:val="ListParagraph"/>
                        <w:spacing w:before="10"/>
                        <w:ind w:left="426" w:firstLine="0"/>
                        <w:rPr>
                          <w:sz w:val="24"/>
                          <w:szCs w:val="24"/>
                        </w:rPr>
                      </w:pPr>
                    </w:p>
                    <w:p w14:paraId="73839BE5" w14:textId="77777777" w:rsidR="00D37D86" w:rsidRDefault="00D37D86" w:rsidP="00D37D86"/>
                    <w:p w14:paraId="1B0099EA" w14:textId="77777777" w:rsidR="00D37D86" w:rsidRDefault="00D37D86" w:rsidP="00D37D86"/>
                    <w:p w14:paraId="011D6FAB" w14:textId="77777777" w:rsidR="00D37D86" w:rsidRDefault="00D37D86" w:rsidP="00D37D86"/>
                  </w:txbxContent>
                </v:textbox>
                <w10:wrap anchorx="margin"/>
              </v:shape>
            </w:pict>
          </mc:Fallback>
        </mc:AlternateContent>
      </w:r>
    </w:p>
    <w:p w14:paraId="7BD48643" w14:textId="77777777" w:rsidR="00D37D86" w:rsidRPr="002B164B" w:rsidRDefault="00D37D86" w:rsidP="00D37D86">
      <w:pPr>
        <w:ind w:left="426"/>
        <w:rPr>
          <w:sz w:val="24"/>
          <w:szCs w:val="24"/>
        </w:rPr>
      </w:pPr>
    </w:p>
    <w:p w14:paraId="232FACDB" w14:textId="77777777" w:rsidR="00D37D86" w:rsidRPr="002B164B" w:rsidRDefault="00D37D86" w:rsidP="00D37D86">
      <w:pPr>
        <w:ind w:left="426"/>
        <w:rPr>
          <w:b/>
          <w:bCs/>
          <w:sz w:val="24"/>
          <w:szCs w:val="24"/>
        </w:rPr>
      </w:pPr>
    </w:p>
    <w:p w14:paraId="7707126A" w14:textId="77777777" w:rsidR="00D37D86" w:rsidRPr="002B164B" w:rsidRDefault="00D37D86" w:rsidP="00D37D86">
      <w:pPr>
        <w:ind w:left="426"/>
        <w:rPr>
          <w:b/>
          <w:bCs/>
          <w:sz w:val="24"/>
          <w:szCs w:val="24"/>
        </w:rPr>
      </w:pPr>
    </w:p>
    <w:p w14:paraId="655A69F0" w14:textId="77777777" w:rsidR="00D37D86" w:rsidRPr="002B164B" w:rsidRDefault="00D37D86" w:rsidP="00D37D86">
      <w:pPr>
        <w:ind w:left="426"/>
        <w:rPr>
          <w:b/>
          <w:bCs/>
          <w:sz w:val="24"/>
          <w:szCs w:val="24"/>
        </w:rPr>
      </w:pPr>
    </w:p>
    <w:p w14:paraId="589EF8B9" w14:textId="77777777" w:rsidR="00D37D86" w:rsidRPr="002B164B" w:rsidRDefault="00D37D86" w:rsidP="00D37D86">
      <w:pPr>
        <w:ind w:left="426"/>
        <w:rPr>
          <w:b/>
          <w:bCs/>
          <w:sz w:val="24"/>
          <w:szCs w:val="24"/>
        </w:rPr>
      </w:pPr>
    </w:p>
    <w:p w14:paraId="65B8B78F" w14:textId="77777777" w:rsidR="00D37D86" w:rsidRPr="002B164B" w:rsidRDefault="00D37D86" w:rsidP="00D37D86">
      <w:pPr>
        <w:ind w:left="426"/>
        <w:rPr>
          <w:b/>
          <w:bCs/>
          <w:sz w:val="24"/>
          <w:szCs w:val="24"/>
        </w:rPr>
      </w:pPr>
    </w:p>
    <w:p w14:paraId="7A66C76E" w14:textId="77777777" w:rsidR="00D37D86" w:rsidRPr="002B164B" w:rsidRDefault="00D37D86" w:rsidP="00D37D86">
      <w:pPr>
        <w:ind w:left="426"/>
        <w:rPr>
          <w:b/>
          <w:bCs/>
          <w:sz w:val="24"/>
          <w:szCs w:val="24"/>
        </w:rPr>
      </w:pPr>
    </w:p>
    <w:p w14:paraId="53FDC909" w14:textId="77777777" w:rsidR="00D37D86" w:rsidRDefault="00D37D86" w:rsidP="00D37D86">
      <w:pPr>
        <w:ind w:left="426"/>
        <w:rPr>
          <w:b/>
          <w:bCs/>
          <w:sz w:val="24"/>
          <w:szCs w:val="24"/>
        </w:rPr>
      </w:pPr>
    </w:p>
    <w:p w14:paraId="4A1644B2" w14:textId="77777777" w:rsidR="00D37D86" w:rsidRDefault="00D37D86" w:rsidP="00D37D86">
      <w:pPr>
        <w:ind w:left="426"/>
        <w:rPr>
          <w:b/>
          <w:bCs/>
          <w:sz w:val="24"/>
          <w:szCs w:val="24"/>
        </w:rPr>
      </w:pPr>
    </w:p>
    <w:p w14:paraId="5356461E" w14:textId="77777777" w:rsidR="00D37D86" w:rsidRDefault="00D37D86" w:rsidP="00D37D86">
      <w:pPr>
        <w:ind w:left="426"/>
        <w:rPr>
          <w:b/>
          <w:bCs/>
          <w:sz w:val="24"/>
          <w:szCs w:val="24"/>
        </w:rPr>
      </w:pPr>
    </w:p>
    <w:p w14:paraId="2FCCC47E" w14:textId="77777777" w:rsidR="00D37D86" w:rsidRDefault="00D37D86" w:rsidP="00D37D86">
      <w:pPr>
        <w:ind w:left="426"/>
        <w:rPr>
          <w:b/>
          <w:bCs/>
          <w:sz w:val="24"/>
          <w:szCs w:val="24"/>
        </w:rPr>
      </w:pPr>
    </w:p>
    <w:p w14:paraId="5D9AD636" w14:textId="77777777" w:rsidR="00D37D86" w:rsidRPr="002B164B" w:rsidRDefault="00D37D86" w:rsidP="00D37D86">
      <w:pPr>
        <w:ind w:left="426"/>
        <w:rPr>
          <w:b/>
          <w:bCs/>
          <w:sz w:val="24"/>
          <w:szCs w:val="24"/>
        </w:rPr>
      </w:pPr>
    </w:p>
    <w:p w14:paraId="1818B78D" w14:textId="77777777" w:rsidR="00D37D86" w:rsidRPr="002B164B" w:rsidRDefault="00D37D86" w:rsidP="00D37D86">
      <w:pPr>
        <w:pStyle w:val="BodyText"/>
        <w:spacing w:before="10"/>
        <w:ind w:left="426"/>
        <w:jc w:val="both"/>
        <w:rPr>
          <w:b/>
          <w:bCs/>
        </w:rPr>
      </w:pPr>
      <w:r w:rsidRPr="002B164B">
        <w:rPr>
          <w:b/>
          <w:bCs/>
          <w:u w:val="single"/>
        </w:rPr>
        <w:t>Comments from directorate:</w:t>
      </w:r>
      <w:r w:rsidRPr="002B164B">
        <w:rPr>
          <w:b/>
          <w:bCs/>
        </w:rPr>
        <w:t xml:space="preserve"> </w:t>
      </w:r>
    </w:p>
    <w:p w14:paraId="07465F36" w14:textId="77777777" w:rsidR="00D37D86" w:rsidRPr="002B164B" w:rsidRDefault="00D37D86" w:rsidP="00D37D86">
      <w:pPr>
        <w:ind w:left="426"/>
        <w:rPr>
          <w:sz w:val="24"/>
          <w:szCs w:val="24"/>
        </w:rPr>
      </w:pPr>
      <w:r w:rsidRPr="002B164B">
        <w:rPr>
          <w:b/>
          <w:bCs/>
          <w:sz w:val="24"/>
          <w:szCs w:val="24"/>
        </w:rPr>
        <w:t>OCC07.01:</w:t>
      </w:r>
      <w:r w:rsidRPr="002B164B">
        <w:rPr>
          <w:sz w:val="24"/>
          <w:szCs w:val="24"/>
        </w:rPr>
        <w:t xml:space="preserve"> </w:t>
      </w:r>
      <w:r w:rsidRPr="00C451CA">
        <w:rPr>
          <w:sz w:val="24"/>
          <w:szCs w:val="24"/>
          <w:highlight w:val="yellow"/>
        </w:rPr>
        <w:t>MASH</w:t>
      </w:r>
      <w:r w:rsidRPr="002B164B">
        <w:rPr>
          <w:sz w:val="24"/>
          <w:szCs w:val="24"/>
        </w:rPr>
        <w:t xml:space="preserve"> rose by 35%, in 20/21. In 21/22 they rose again, by 18%. However, in the first four months of this year contacts have fallen by 4% on the same quarter last year. Demand is being managed by additional temporary staff and are reviewing activity to see what can be managed elsewhere.</w:t>
      </w:r>
    </w:p>
    <w:p w14:paraId="31BF5CEE" w14:textId="77777777" w:rsidR="00D37D86" w:rsidRPr="002B164B" w:rsidRDefault="00D37D86" w:rsidP="00D37D86">
      <w:pPr>
        <w:ind w:left="426"/>
        <w:rPr>
          <w:sz w:val="24"/>
          <w:szCs w:val="24"/>
        </w:rPr>
      </w:pPr>
      <w:r w:rsidRPr="002B164B">
        <w:rPr>
          <w:b/>
          <w:bCs/>
          <w:sz w:val="24"/>
          <w:szCs w:val="24"/>
        </w:rPr>
        <w:t>OCC07.02:</w:t>
      </w:r>
      <w:r w:rsidRPr="002B164B">
        <w:rPr>
          <w:sz w:val="24"/>
          <w:szCs w:val="24"/>
        </w:rPr>
        <w:t xml:space="preserve"> The children's trust agreed a stretched target of 5,000 early help assessments this year and 10,000 in 23/24. However, in the first quarter of this year the number of early help assessments between April and July are 14% lower than the corresponding period last year and under half the target rate. An early help strategy is in place to help increase the provision of early help</w:t>
      </w:r>
    </w:p>
    <w:p w14:paraId="155CE6C9" w14:textId="77777777" w:rsidR="00D37D86" w:rsidRPr="002B164B" w:rsidRDefault="00D37D86" w:rsidP="00D37D86">
      <w:pPr>
        <w:ind w:left="426"/>
        <w:rPr>
          <w:sz w:val="24"/>
          <w:szCs w:val="24"/>
        </w:rPr>
      </w:pPr>
      <w:r w:rsidRPr="002B164B">
        <w:rPr>
          <w:b/>
          <w:bCs/>
          <w:sz w:val="24"/>
          <w:szCs w:val="24"/>
        </w:rPr>
        <w:t>OCC07.03:</w:t>
      </w:r>
      <w:r w:rsidRPr="002B164B">
        <w:rPr>
          <w:sz w:val="24"/>
          <w:szCs w:val="24"/>
        </w:rPr>
        <w:t xml:space="preserve"> We are working with Oxford health through our contract on health visiting to increase the number of early help assessments in the year. This work is being completed within the early help strategy referred to on OCC7.02</w:t>
      </w:r>
    </w:p>
    <w:p w14:paraId="280E7C12" w14:textId="77777777" w:rsidR="00D37D86" w:rsidRPr="002B164B" w:rsidRDefault="00D37D86" w:rsidP="00D37D86">
      <w:pPr>
        <w:ind w:left="426"/>
        <w:rPr>
          <w:sz w:val="24"/>
          <w:szCs w:val="24"/>
        </w:rPr>
      </w:pPr>
      <w:r w:rsidRPr="002B164B">
        <w:rPr>
          <w:b/>
          <w:bCs/>
          <w:sz w:val="24"/>
          <w:szCs w:val="24"/>
        </w:rPr>
        <w:t>OCC07.06:</w:t>
      </w:r>
      <w:r w:rsidRPr="002B164B">
        <w:rPr>
          <w:sz w:val="24"/>
          <w:szCs w:val="24"/>
        </w:rPr>
        <w:t xml:space="preserve"> The number of children we care for continues to rise. It remains below the national rate, but above that of similar authorities. We expected numbers to fall with the implementation of family solutions plus model, but this has not yet happened. The increase in younger children becoming looked after may be </w:t>
      </w:r>
      <w:r>
        <w:rPr>
          <w:sz w:val="24"/>
          <w:szCs w:val="24"/>
        </w:rPr>
        <w:t xml:space="preserve">because </w:t>
      </w:r>
      <w:r w:rsidRPr="002B164B">
        <w:rPr>
          <w:sz w:val="24"/>
          <w:szCs w:val="24"/>
        </w:rPr>
        <w:t>of the impact of the pandemic, higher level of need was much higher in some cases.</w:t>
      </w:r>
    </w:p>
    <w:p w14:paraId="4EBA8A37" w14:textId="77777777" w:rsidR="00D37D86" w:rsidRPr="002B164B" w:rsidRDefault="00D37D86" w:rsidP="00D37D86">
      <w:pPr>
        <w:ind w:left="426"/>
        <w:rPr>
          <w:sz w:val="24"/>
          <w:szCs w:val="24"/>
        </w:rPr>
      </w:pPr>
      <w:r w:rsidRPr="002B164B">
        <w:rPr>
          <w:b/>
          <w:bCs/>
          <w:sz w:val="24"/>
          <w:szCs w:val="24"/>
        </w:rPr>
        <w:t>OCC07.10:</w:t>
      </w:r>
      <w:r w:rsidRPr="002B164B">
        <w:rPr>
          <w:sz w:val="24"/>
          <w:szCs w:val="24"/>
        </w:rPr>
        <w:t xml:space="preserve"> Sustained volume in requests for </w:t>
      </w:r>
      <w:r w:rsidRPr="00C451CA">
        <w:rPr>
          <w:sz w:val="24"/>
          <w:szCs w:val="24"/>
          <w:highlight w:val="yellow"/>
        </w:rPr>
        <w:t>EHCNA</w:t>
      </w:r>
      <w:r w:rsidRPr="002B164B">
        <w:rPr>
          <w:sz w:val="24"/>
          <w:szCs w:val="24"/>
        </w:rPr>
        <w:t>s</w:t>
      </w:r>
      <w:r>
        <w:rPr>
          <w:sz w:val="24"/>
          <w:szCs w:val="24"/>
        </w:rPr>
        <w:t>.</w:t>
      </w:r>
      <w:r w:rsidRPr="002B164B">
        <w:rPr>
          <w:sz w:val="24"/>
          <w:szCs w:val="24"/>
        </w:rPr>
        <w:t xml:space="preserve"> Shortages of staff in both casework and </w:t>
      </w:r>
      <w:r w:rsidRPr="00C451CA">
        <w:rPr>
          <w:sz w:val="24"/>
          <w:szCs w:val="24"/>
          <w:highlight w:val="yellow"/>
        </w:rPr>
        <w:t>EPS</w:t>
      </w:r>
      <w:r w:rsidRPr="002B164B">
        <w:rPr>
          <w:sz w:val="24"/>
          <w:szCs w:val="24"/>
        </w:rPr>
        <w:t xml:space="preserve">. Heavy resilience on agency staff both in casework and </w:t>
      </w:r>
      <w:r w:rsidRPr="00C451CA">
        <w:rPr>
          <w:sz w:val="24"/>
          <w:szCs w:val="24"/>
          <w:highlight w:val="yellow"/>
        </w:rPr>
        <w:t>EPS</w:t>
      </w:r>
      <w:r w:rsidRPr="002B164B">
        <w:rPr>
          <w:sz w:val="24"/>
          <w:szCs w:val="24"/>
        </w:rPr>
        <w:t>. Continuous sickness absence including long-term. Implementation of a new Business Information System.</w:t>
      </w:r>
    </w:p>
    <w:p w14:paraId="65554B5A" w14:textId="77777777" w:rsidR="00D37D86" w:rsidRPr="002B164B" w:rsidRDefault="00D37D86" w:rsidP="00D37D86">
      <w:pPr>
        <w:ind w:left="426"/>
        <w:rPr>
          <w:sz w:val="24"/>
          <w:szCs w:val="24"/>
        </w:rPr>
      </w:pPr>
    </w:p>
    <w:tbl>
      <w:tblPr>
        <w:tblStyle w:val="TableGrid"/>
        <w:tblW w:w="8501" w:type="dxa"/>
        <w:tblInd w:w="421" w:type="dxa"/>
        <w:tblLook w:val="04A0" w:firstRow="1" w:lastRow="0" w:firstColumn="1" w:lastColumn="0" w:noHBand="0" w:noVBand="1"/>
      </w:tblPr>
      <w:tblGrid>
        <w:gridCol w:w="1122"/>
        <w:gridCol w:w="7379"/>
      </w:tblGrid>
      <w:tr w:rsidR="00D37D86" w:rsidRPr="002B164B" w14:paraId="5E595E2F" w14:textId="77777777" w:rsidTr="00FC0C44">
        <w:trPr>
          <w:trHeight w:val="274"/>
        </w:trPr>
        <w:tc>
          <w:tcPr>
            <w:tcW w:w="1122" w:type="dxa"/>
          </w:tcPr>
          <w:p w14:paraId="1438A0B4" w14:textId="77777777" w:rsidR="00D37D86" w:rsidRPr="002B164B" w:rsidRDefault="00D37D86" w:rsidP="00FC0C44">
            <w:pPr>
              <w:jc w:val="both"/>
              <w:rPr>
                <w:b/>
                <w:bCs/>
                <w:sz w:val="16"/>
                <w:szCs w:val="16"/>
              </w:rPr>
            </w:pPr>
            <w:r w:rsidRPr="00021453">
              <w:rPr>
                <w:b/>
                <w:bCs/>
                <w:sz w:val="20"/>
                <w:szCs w:val="20"/>
              </w:rPr>
              <w:t>Risk impact</w:t>
            </w:r>
          </w:p>
        </w:tc>
        <w:tc>
          <w:tcPr>
            <w:tcW w:w="7379" w:type="dxa"/>
          </w:tcPr>
          <w:p w14:paraId="5B79C72C" w14:textId="77777777" w:rsidR="00D37D86" w:rsidRPr="002B164B" w:rsidRDefault="00D37D86" w:rsidP="00FC0C44">
            <w:pPr>
              <w:pStyle w:val="BodyText"/>
              <w:spacing w:before="10"/>
              <w:jc w:val="both"/>
              <w:rPr>
                <w:color w:val="FF0000"/>
                <w:sz w:val="22"/>
                <w:szCs w:val="22"/>
              </w:rPr>
            </w:pPr>
            <w:r w:rsidRPr="002B164B">
              <w:rPr>
                <w:b/>
                <w:bCs/>
                <w:sz w:val="20"/>
                <w:szCs w:val="20"/>
              </w:rPr>
              <w:t xml:space="preserve">OCC07.01: </w:t>
            </w:r>
            <w:r w:rsidRPr="002B164B">
              <w:rPr>
                <w:sz w:val="20"/>
                <w:szCs w:val="20"/>
              </w:rPr>
              <w:t>Additional demand increases the risk that children will not be seen in a timely manner (strategic risk safeguarding vulnerable children). The risk is being managed by the provision of additional staff who ensure that the statutory timeframes for responding to the most significant safeguarding concerns are addressed and performance remains high at circa 90% within 24 hours. Performance on other concerns has dropped</w:t>
            </w:r>
            <w:r>
              <w:rPr>
                <w:sz w:val="20"/>
                <w:szCs w:val="20"/>
              </w:rPr>
              <w:t>.</w:t>
            </w:r>
          </w:p>
          <w:p w14:paraId="69DABC26" w14:textId="77777777" w:rsidR="00D37D86" w:rsidRPr="002B164B" w:rsidRDefault="00D37D86" w:rsidP="00FC0C44">
            <w:pPr>
              <w:pStyle w:val="BodyText"/>
              <w:spacing w:before="10"/>
              <w:jc w:val="both"/>
              <w:rPr>
                <w:sz w:val="20"/>
                <w:szCs w:val="20"/>
              </w:rPr>
            </w:pPr>
            <w:r w:rsidRPr="002B164B">
              <w:rPr>
                <w:b/>
                <w:bCs/>
                <w:sz w:val="20"/>
                <w:szCs w:val="20"/>
              </w:rPr>
              <w:t xml:space="preserve">OCC07.02: </w:t>
            </w:r>
            <w:r w:rsidRPr="002B164B">
              <w:rPr>
                <w:sz w:val="20"/>
                <w:szCs w:val="20"/>
              </w:rPr>
              <w:t xml:space="preserve">There is evidence of avoidable demand in the system. Only 20% of MASH contacts lead to a social care referral; and around a half of social care assessments lead to a social care plan. A 2017 case review report suggested that 36% of children could have been prevented from becoming looked after, had an effective earlier intervention been made. At a workshop of young people who have </w:t>
            </w:r>
            <w:r w:rsidRPr="002B164B">
              <w:rPr>
                <w:sz w:val="20"/>
                <w:szCs w:val="20"/>
              </w:rPr>
              <w:lastRenderedPageBreak/>
              <w:t>experienced care, they suggested that life could have been different for them had earlier help and support been in place. In 2017 the Early Intervention Foundation estimated that late intervention costs across England and Wales are £17bn a year – in Oxfordshire that would equate to £200m.</w:t>
            </w:r>
          </w:p>
          <w:p w14:paraId="0770DD7E" w14:textId="77777777" w:rsidR="00D37D86" w:rsidRPr="002B164B" w:rsidRDefault="00D37D86" w:rsidP="00FC0C44">
            <w:pPr>
              <w:pStyle w:val="BodyText"/>
              <w:spacing w:before="10"/>
              <w:jc w:val="both"/>
              <w:rPr>
                <w:sz w:val="20"/>
                <w:szCs w:val="20"/>
              </w:rPr>
            </w:pPr>
            <w:r w:rsidRPr="002B164B">
              <w:rPr>
                <w:sz w:val="20"/>
                <w:szCs w:val="20"/>
              </w:rPr>
              <w:t>Failure to deliver sufficient and effective early help increases the likelihood of increased demand for children's services (SR1) and potentially placement sufficiency (SR5). Increased caseloads put additional pressures on social workers and impact on caseloads (SR4)</w:t>
            </w:r>
          </w:p>
          <w:p w14:paraId="0FEDDC87" w14:textId="77777777" w:rsidR="00D37D86" w:rsidRPr="002B164B" w:rsidRDefault="00D37D86" w:rsidP="00FC0C44">
            <w:pPr>
              <w:pStyle w:val="BodyText"/>
              <w:spacing w:before="10"/>
              <w:jc w:val="both"/>
              <w:rPr>
                <w:b/>
                <w:bCs/>
                <w:color w:val="FF0000"/>
                <w:sz w:val="18"/>
                <w:szCs w:val="18"/>
              </w:rPr>
            </w:pPr>
            <w:r w:rsidRPr="002B164B">
              <w:rPr>
                <w:b/>
                <w:bCs/>
                <w:sz w:val="20"/>
                <w:szCs w:val="20"/>
              </w:rPr>
              <w:t xml:space="preserve">OCC07.03: </w:t>
            </w:r>
            <w:r w:rsidRPr="002B164B">
              <w:rPr>
                <w:sz w:val="20"/>
                <w:szCs w:val="20"/>
              </w:rPr>
              <w:t>See OCC7.02 risk impact</w:t>
            </w:r>
          </w:p>
          <w:p w14:paraId="3331F1E6" w14:textId="77777777" w:rsidR="00D37D86" w:rsidRPr="002B164B" w:rsidRDefault="00D37D86" w:rsidP="00FC0C44">
            <w:pPr>
              <w:pStyle w:val="BodyText"/>
              <w:spacing w:before="10"/>
              <w:jc w:val="both"/>
              <w:rPr>
                <w:sz w:val="20"/>
                <w:szCs w:val="20"/>
              </w:rPr>
            </w:pPr>
            <w:r w:rsidRPr="002B164B">
              <w:rPr>
                <w:b/>
                <w:bCs/>
                <w:sz w:val="20"/>
                <w:szCs w:val="20"/>
              </w:rPr>
              <w:t xml:space="preserve">OCC07.06: </w:t>
            </w:r>
            <w:r w:rsidRPr="002B164B">
              <w:rPr>
                <w:sz w:val="20"/>
                <w:szCs w:val="20"/>
              </w:rPr>
              <w:t>Increasing numbers of children we care for puts increasing pressures on placements (SR5). It also increases caseloads and retention of social workers (SR4).</w:t>
            </w:r>
          </w:p>
          <w:p w14:paraId="1E19C9A4" w14:textId="77777777" w:rsidR="00D37D86" w:rsidRPr="002B164B" w:rsidRDefault="00D37D86" w:rsidP="00FC0C44">
            <w:pPr>
              <w:pStyle w:val="BodyText"/>
              <w:spacing w:before="10"/>
              <w:jc w:val="both"/>
              <w:rPr>
                <w:sz w:val="22"/>
                <w:szCs w:val="22"/>
              </w:rPr>
            </w:pPr>
            <w:r w:rsidRPr="002B164B">
              <w:rPr>
                <w:b/>
                <w:bCs/>
                <w:sz w:val="20"/>
                <w:szCs w:val="20"/>
              </w:rPr>
              <w:t xml:space="preserve">OCC07.10: </w:t>
            </w:r>
            <w:r w:rsidRPr="002B164B">
              <w:rPr>
                <w:sz w:val="20"/>
                <w:szCs w:val="20"/>
              </w:rPr>
              <w:t>Risk reviewed and reflected in strategic risk register.</w:t>
            </w:r>
          </w:p>
        </w:tc>
      </w:tr>
      <w:tr w:rsidR="00D37D86" w:rsidRPr="002B164B" w14:paraId="5F8D3405" w14:textId="77777777" w:rsidTr="00FC0C44">
        <w:trPr>
          <w:trHeight w:val="557"/>
        </w:trPr>
        <w:tc>
          <w:tcPr>
            <w:tcW w:w="1122" w:type="dxa"/>
          </w:tcPr>
          <w:p w14:paraId="257F2776" w14:textId="77777777" w:rsidR="00D37D86" w:rsidRPr="002B164B" w:rsidRDefault="00D37D86" w:rsidP="00FC0C44">
            <w:pPr>
              <w:jc w:val="both"/>
              <w:rPr>
                <w:b/>
                <w:bCs/>
                <w:sz w:val="16"/>
                <w:szCs w:val="16"/>
              </w:rPr>
            </w:pPr>
            <w:r w:rsidRPr="00021453">
              <w:rPr>
                <w:b/>
                <w:bCs/>
                <w:sz w:val="20"/>
                <w:szCs w:val="20"/>
              </w:rPr>
              <w:lastRenderedPageBreak/>
              <w:t>Finance impact</w:t>
            </w:r>
          </w:p>
        </w:tc>
        <w:tc>
          <w:tcPr>
            <w:tcW w:w="7379" w:type="dxa"/>
          </w:tcPr>
          <w:p w14:paraId="1A19B369" w14:textId="77777777" w:rsidR="00D37D86" w:rsidRPr="002B164B" w:rsidRDefault="00D37D86" w:rsidP="00FC0C44">
            <w:pPr>
              <w:pStyle w:val="BodyText"/>
              <w:spacing w:before="10"/>
              <w:jc w:val="both"/>
              <w:rPr>
                <w:color w:val="FF0000"/>
                <w:sz w:val="22"/>
                <w:szCs w:val="22"/>
              </w:rPr>
            </w:pPr>
            <w:r w:rsidRPr="002B164B">
              <w:rPr>
                <w:b/>
                <w:bCs/>
                <w:sz w:val="20"/>
                <w:szCs w:val="20"/>
              </w:rPr>
              <w:t>OCC07.01:</w:t>
            </w:r>
            <w:r w:rsidRPr="002B164B">
              <w:rPr>
                <w:sz w:val="20"/>
                <w:szCs w:val="20"/>
              </w:rPr>
              <w:t xml:space="preserve"> The costs of additional temporary staff have been met by Covid funds which are planned to continue in 22/23 subject to the level of demand</w:t>
            </w:r>
            <w:r>
              <w:rPr>
                <w:sz w:val="20"/>
                <w:szCs w:val="20"/>
              </w:rPr>
              <w:t>.</w:t>
            </w:r>
          </w:p>
          <w:p w14:paraId="670478F1" w14:textId="77777777" w:rsidR="00D37D86" w:rsidRPr="002B164B" w:rsidRDefault="00D37D86" w:rsidP="00FC0C44">
            <w:pPr>
              <w:pStyle w:val="BodyText"/>
              <w:spacing w:before="10"/>
              <w:jc w:val="both"/>
              <w:rPr>
                <w:b/>
                <w:bCs/>
                <w:sz w:val="20"/>
                <w:szCs w:val="20"/>
              </w:rPr>
            </w:pPr>
            <w:r w:rsidRPr="002B164B">
              <w:rPr>
                <w:b/>
                <w:bCs/>
                <w:sz w:val="20"/>
                <w:szCs w:val="20"/>
              </w:rPr>
              <w:t>OCC07.02:</w:t>
            </w:r>
            <w:r w:rsidRPr="002B164B">
              <w:rPr>
                <w:sz w:val="20"/>
                <w:szCs w:val="20"/>
              </w:rPr>
              <w:t xml:space="preserve"> Potential financial impact of increased demand on staffing budgets as more workers are needed to manage increasing caseloads and placement costs for cared for children.</w:t>
            </w:r>
          </w:p>
          <w:p w14:paraId="31A09F6D" w14:textId="77777777" w:rsidR="00D37D86" w:rsidRPr="002B164B" w:rsidRDefault="00D37D86" w:rsidP="00FC0C44">
            <w:pPr>
              <w:pStyle w:val="BodyText"/>
              <w:spacing w:before="10"/>
              <w:jc w:val="both"/>
              <w:rPr>
                <w:b/>
                <w:bCs/>
                <w:color w:val="FF0000"/>
                <w:sz w:val="18"/>
                <w:szCs w:val="18"/>
              </w:rPr>
            </w:pPr>
            <w:r w:rsidRPr="002B164B">
              <w:rPr>
                <w:b/>
                <w:bCs/>
                <w:sz w:val="20"/>
                <w:szCs w:val="20"/>
              </w:rPr>
              <w:t>OCC07.03:</w:t>
            </w:r>
            <w:r w:rsidRPr="002B164B">
              <w:rPr>
                <w:sz w:val="20"/>
                <w:szCs w:val="20"/>
              </w:rPr>
              <w:t xml:space="preserve"> See OCC7.02 finance impact</w:t>
            </w:r>
          </w:p>
          <w:p w14:paraId="7A10E552" w14:textId="77777777" w:rsidR="00D37D86" w:rsidRPr="002B164B" w:rsidRDefault="00D37D86" w:rsidP="00FC0C44">
            <w:pPr>
              <w:pStyle w:val="BodyText"/>
              <w:spacing w:before="10"/>
              <w:jc w:val="both"/>
              <w:rPr>
                <w:b/>
                <w:bCs/>
                <w:sz w:val="20"/>
                <w:szCs w:val="20"/>
              </w:rPr>
            </w:pPr>
            <w:r w:rsidRPr="002B164B">
              <w:rPr>
                <w:b/>
                <w:bCs/>
                <w:sz w:val="20"/>
                <w:szCs w:val="20"/>
              </w:rPr>
              <w:t>OCC07.06:</w:t>
            </w:r>
            <w:r w:rsidRPr="002B164B">
              <w:rPr>
                <w:sz w:val="20"/>
                <w:szCs w:val="20"/>
              </w:rPr>
              <w:t xml:space="preserve"> The more children we care for, the more placements we need. Increased need puts a price impact on placements and shortages of some placement types can mean children end up in more expensive placements. More cared for children may also mean higher caseloads and pressures on staffing budgets.</w:t>
            </w:r>
          </w:p>
          <w:p w14:paraId="753A7AFD" w14:textId="77777777" w:rsidR="00D37D86" w:rsidRPr="002B164B" w:rsidRDefault="00D37D86" w:rsidP="00FC0C44">
            <w:pPr>
              <w:pStyle w:val="BodyText"/>
              <w:spacing w:before="10"/>
              <w:jc w:val="both"/>
            </w:pPr>
            <w:r w:rsidRPr="002B164B">
              <w:rPr>
                <w:b/>
                <w:bCs/>
                <w:sz w:val="20"/>
                <w:szCs w:val="20"/>
              </w:rPr>
              <w:t xml:space="preserve">OCC07.10: </w:t>
            </w:r>
            <w:r w:rsidRPr="002B164B">
              <w:rPr>
                <w:sz w:val="20"/>
                <w:szCs w:val="20"/>
              </w:rPr>
              <w:t xml:space="preserve">Budget forecasting reviewed and reflected </w:t>
            </w:r>
            <w:proofErr w:type="gramStart"/>
            <w:r w:rsidRPr="002B164B">
              <w:rPr>
                <w:sz w:val="20"/>
                <w:szCs w:val="20"/>
              </w:rPr>
              <w:t>in light of</w:t>
            </w:r>
            <w:proofErr w:type="gramEnd"/>
            <w:r w:rsidRPr="002B164B">
              <w:rPr>
                <w:sz w:val="20"/>
                <w:szCs w:val="20"/>
              </w:rPr>
              <w:t xml:space="preserve"> performance.</w:t>
            </w:r>
          </w:p>
        </w:tc>
      </w:tr>
    </w:tbl>
    <w:p w14:paraId="47118440" w14:textId="32B042EA" w:rsidR="0080193A" w:rsidRDefault="00D37D86" w:rsidP="00D37D86">
      <w:pPr>
        <w:ind w:left="426"/>
        <w:rPr>
          <w:sz w:val="24"/>
          <w:szCs w:val="24"/>
        </w:rPr>
      </w:pPr>
      <w:r>
        <w:rPr>
          <w:sz w:val="24"/>
          <w:szCs w:val="24"/>
        </w:rPr>
        <w:t xml:space="preserve"> </w:t>
      </w:r>
    </w:p>
    <w:p w14:paraId="2F03D749" w14:textId="77777777" w:rsidR="0080193A" w:rsidRDefault="0080193A">
      <w:pPr>
        <w:widowControl/>
        <w:autoSpaceDE/>
        <w:autoSpaceDN/>
        <w:spacing w:after="160" w:line="259" w:lineRule="auto"/>
        <w:rPr>
          <w:sz w:val="24"/>
          <w:szCs w:val="24"/>
        </w:rPr>
      </w:pPr>
      <w:r>
        <w:rPr>
          <w:sz w:val="24"/>
          <w:szCs w:val="24"/>
        </w:rPr>
        <w:br w:type="page"/>
      </w:r>
    </w:p>
    <w:p w14:paraId="500032F8" w14:textId="77777777" w:rsidR="00D37D86" w:rsidRPr="002B164B" w:rsidRDefault="00D37D86" w:rsidP="00D37D86">
      <w:pPr>
        <w:ind w:left="426"/>
        <w:rPr>
          <w:sz w:val="24"/>
          <w:szCs w:val="24"/>
        </w:rPr>
      </w:pPr>
    </w:p>
    <w:p w14:paraId="060B5C54" w14:textId="77777777" w:rsidR="00D37D86" w:rsidRPr="00910DB5" w:rsidRDefault="00D37D86" w:rsidP="00910DB5">
      <w:pPr>
        <w:pStyle w:val="ListParagraph"/>
        <w:numPr>
          <w:ilvl w:val="1"/>
          <w:numId w:val="43"/>
        </w:numPr>
        <w:ind w:left="426"/>
        <w:rPr>
          <w:b/>
          <w:bCs/>
          <w:sz w:val="24"/>
          <w:szCs w:val="24"/>
        </w:rPr>
      </w:pPr>
      <w:r w:rsidRPr="00910DB5">
        <w:rPr>
          <w:b/>
          <w:bCs/>
          <w:sz w:val="24"/>
          <w:szCs w:val="24"/>
        </w:rPr>
        <w:t xml:space="preserve">Priority OCC 10 and 11: Running the business </w:t>
      </w:r>
    </w:p>
    <w:p w14:paraId="7CE1A428" w14:textId="77777777" w:rsidR="00D37D86" w:rsidRPr="002B164B" w:rsidRDefault="00D37D86" w:rsidP="00D37D86">
      <w:pPr>
        <w:rPr>
          <w:b/>
          <w:bCs/>
          <w:sz w:val="24"/>
          <w:szCs w:val="24"/>
        </w:rPr>
      </w:pPr>
    </w:p>
    <w:p w14:paraId="776381B9" w14:textId="77777777" w:rsidR="00D37D86" w:rsidRPr="002B164B" w:rsidRDefault="00D37D86" w:rsidP="00D37D86">
      <w:pPr>
        <w:ind w:left="426"/>
        <w:rPr>
          <w:sz w:val="24"/>
          <w:szCs w:val="24"/>
        </w:rPr>
      </w:pPr>
      <w:r w:rsidRPr="002B164B">
        <w:rPr>
          <w:b/>
          <w:bCs/>
          <w:sz w:val="24"/>
          <w:szCs w:val="24"/>
        </w:rPr>
        <w:t>Customer contact centre</w:t>
      </w:r>
      <w:r w:rsidRPr="002B164B">
        <w:rPr>
          <w:sz w:val="24"/>
          <w:szCs w:val="24"/>
        </w:rPr>
        <w:t>: Of the 6 measures reported in July: 3 Amber and 1 Green and 2 Not updated (Due in Q3)</w:t>
      </w:r>
    </w:p>
    <w:p w14:paraId="3F748553" w14:textId="77777777" w:rsidR="00D37D86" w:rsidRPr="002B164B" w:rsidRDefault="00D37D86" w:rsidP="00D37D86">
      <w:pPr>
        <w:ind w:left="426"/>
        <w:rPr>
          <w:sz w:val="24"/>
          <w:szCs w:val="24"/>
        </w:rPr>
      </w:pPr>
      <w:r w:rsidRPr="002B164B">
        <w:rPr>
          <w:b/>
          <w:bCs/>
          <w:sz w:val="24"/>
          <w:szCs w:val="24"/>
        </w:rPr>
        <w:t>Finance</w:t>
      </w:r>
      <w:r w:rsidRPr="002B164B">
        <w:rPr>
          <w:sz w:val="24"/>
          <w:szCs w:val="24"/>
        </w:rPr>
        <w:t>: Of the 14 measures being reported in July: 1 Red, 3 Amber, 5 Green and 5 Not Updated</w:t>
      </w:r>
    </w:p>
    <w:p w14:paraId="742BA960" w14:textId="4291E654" w:rsidR="00D37D86" w:rsidRPr="002B164B" w:rsidRDefault="0080193A" w:rsidP="00D37D86">
      <w:pPr>
        <w:rPr>
          <w:b/>
          <w:bCs/>
        </w:rPr>
      </w:pPr>
      <w:r w:rsidRPr="002B164B">
        <w:rPr>
          <w:noProof/>
          <w:sz w:val="24"/>
          <w:szCs w:val="24"/>
        </w:rPr>
        <mc:AlternateContent>
          <mc:Choice Requires="wps">
            <w:drawing>
              <wp:anchor distT="0" distB="0" distL="114300" distR="114300" simplePos="0" relativeHeight="251660288" behindDoc="0" locked="0" layoutInCell="1" allowOverlap="1" wp14:anchorId="737DD907" wp14:editId="103EDB12">
                <wp:simplePos x="0" y="0"/>
                <wp:positionH relativeFrom="margin">
                  <wp:posOffset>1898750</wp:posOffset>
                </wp:positionH>
                <wp:positionV relativeFrom="paragraph">
                  <wp:posOffset>162894</wp:posOffset>
                </wp:positionV>
                <wp:extent cx="3914775" cy="4540871"/>
                <wp:effectExtent l="0" t="0" r="28575" b="1270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14775" cy="4540871"/>
                        </a:xfrm>
                        <a:prstGeom prst="rect">
                          <a:avLst/>
                        </a:prstGeom>
                        <a:solidFill>
                          <a:sysClr val="window" lastClr="FFFFFF"/>
                        </a:solidFill>
                        <a:ln w="6350">
                          <a:solidFill>
                            <a:prstClr val="black"/>
                          </a:solidFill>
                        </a:ln>
                      </wps:spPr>
                      <wps:txbx>
                        <w:txbxContent>
                          <w:p w14:paraId="61519570" w14:textId="77777777" w:rsidR="00D37D86" w:rsidRPr="00431081" w:rsidRDefault="00D37D86" w:rsidP="00D37D86">
                            <w:pPr>
                              <w:jc w:val="both"/>
                              <w:rPr>
                                <w:rFonts w:asciiTheme="minorHAnsi" w:hAnsiTheme="minorHAnsi" w:cstheme="minorHAnsi"/>
                                <w:sz w:val="18"/>
                                <w:szCs w:val="18"/>
                              </w:rPr>
                            </w:pPr>
                            <w:r>
                              <w:rPr>
                                <w:rFonts w:asciiTheme="minorHAnsi" w:hAnsiTheme="minorHAnsi" w:cstheme="minorHAnsi"/>
                                <w:sz w:val="18"/>
                                <w:szCs w:val="18"/>
                              </w:rPr>
                              <w:t>T</w:t>
                            </w:r>
                            <w:r w:rsidRPr="00431081">
                              <w:rPr>
                                <w:rFonts w:asciiTheme="minorHAnsi" w:hAnsiTheme="minorHAnsi" w:cstheme="minorHAnsi"/>
                                <w:sz w:val="18"/>
                                <w:szCs w:val="18"/>
                              </w:rPr>
                              <w:t xml:space="preserve">able illustrates measure within </w:t>
                            </w:r>
                            <w:r w:rsidRPr="00431081">
                              <w:rPr>
                                <w:rFonts w:asciiTheme="minorHAnsi" w:hAnsiTheme="minorHAnsi" w:cstheme="minorHAnsi"/>
                                <w:b/>
                                <w:bCs/>
                                <w:sz w:val="18"/>
                                <w:szCs w:val="18"/>
                              </w:rPr>
                              <w:t>Priority OCC 10</w:t>
                            </w:r>
                            <w:r w:rsidRPr="00431081">
                              <w:rPr>
                                <w:rFonts w:asciiTheme="minorHAnsi" w:hAnsiTheme="minorHAnsi" w:cstheme="minorHAnsi"/>
                                <w:sz w:val="18"/>
                                <w:szCs w:val="18"/>
                              </w:rPr>
                              <w:t xml:space="preserve"> that are performing under target and the RAG status.</w:t>
                            </w:r>
                          </w:p>
                          <w:tbl>
                            <w:tblPr>
                              <w:tblStyle w:val="TableGrid1"/>
                              <w:tblW w:w="5949" w:type="dxa"/>
                              <w:tblLook w:val="04A0" w:firstRow="1" w:lastRow="0" w:firstColumn="1" w:lastColumn="0" w:noHBand="0" w:noVBand="1"/>
                            </w:tblPr>
                            <w:tblGrid>
                              <w:gridCol w:w="3823"/>
                              <w:gridCol w:w="850"/>
                              <w:gridCol w:w="1276"/>
                            </w:tblGrid>
                            <w:tr w:rsidR="00D37D86" w:rsidRPr="00431081" w14:paraId="5FD98261" w14:textId="77777777" w:rsidTr="00045E35">
                              <w:tc>
                                <w:tcPr>
                                  <w:tcW w:w="3823" w:type="dxa"/>
                                </w:tcPr>
                                <w:p w14:paraId="11DECAE0" w14:textId="77777777" w:rsidR="00D37D86" w:rsidRPr="00B90078" w:rsidRDefault="00D37D86" w:rsidP="00C3759E">
                                  <w:pPr>
                                    <w:spacing w:before="10"/>
                                    <w:jc w:val="both"/>
                                    <w:rPr>
                                      <w:rFonts w:asciiTheme="minorHAnsi" w:hAnsiTheme="minorHAnsi" w:cstheme="minorHAnsi"/>
                                      <w:b/>
                                      <w:bCs/>
                                      <w:sz w:val="20"/>
                                      <w:szCs w:val="20"/>
                                    </w:rPr>
                                  </w:pPr>
                                  <w:r w:rsidRPr="00B90078">
                                    <w:rPr>
                                      <w:rFonts w:asciiTheme="minorHAnsi" w:hAnsiTheme="minorHAnsi" w:cstheme="minorHAnsi"/>
                                      <w:b/>
                                      <w:bCs/>
                                      <w:sz w:val="20"/>
                                      <w:szCs w:val="20"/>
                                    </w:rPr>
                                    <w:t>Measure</w:t>
                                  </w:r>
                                </w:p>
                              </w:tc>
                              <w:tc>
                                <w:tcPr>
                                  <w:tcW w:w="850" w:type="dxa"/>
                                  <w:vAlign w:val="center"/>
                                </w:tcPr>
                                <w:p w14:paraId="2B19A282" w14:textId="77777777" w:rsidR="00D37D86" w:rsidRPr="00B90078" w:rsidRDefault="00D37D86" w:rsidP="00C3759E">
                                  <w:pPr>
                                    <w:spacing w:before="10"/>
                                    <w:rPr>
                                      <w:rFonts w:asciiTheme="minorHAnsi" w:hAnsiTheme="minorHAnsi" w:cstheme="minorHAnsi"/>
                                      <w:b/>
                                      <w:bCs/>
                                      <w:sz w:val="20"/>
                                      <w:szCs w:val="20"/>
                                    </w:rPr>
                                  </w:pPr>
                                  <w:r w:rsidRPr="00B90078">
                                    <w:rPr>
                                      <w:rFonts w:asciiTheme="minorHAnsi" w:hAnsiTheme="minorHAnsi" w:cstheme="minorHAnsi"/>
                                      <w:b/>
                                      <w:bCs/>
                                      <w:sz w:val="20"/>
                                      <w:szCs w:val="20"/>
                                    </w:rPr>
                                    <w:t>Status</w:t>
                                  </w:r>
                                </w:p>
                              </w:tc>
                              <w:tc>
                                <w:tcPr>
                                  <w:tcW w:w="1276" w:type="dxa"/>
                                </w:tcPr>
                                <w:p w14:paraId="117C125F" w14:textId="77777777" w:rsidR="00D37D86" w:rsidRPr="00B90078" w:rsidRDefault="00D37D86" w:rsidP="00C3759E">
                                  <w:pPr>
                                    <w:spacing w:before="10"/>
                                    <w:rPr>
                                      <w:rFonts w:asciiTheme="minorHAnsi" w:hAnsiTheme="minorHAnsi" w:cstheme="minorHAnsi"/>
                                      <w:b/>
                                      <w:bCs/>
                                      <w:sz w:val="20"/>
                                      <w:szCs w:val="20"/>
                                    </w:rPr>
                                  </w:pPr>
                                  <w:r w:rsidRPr="00B90078">
                                    <w:rPr>
                                      <w:rFonts w:asciiTheme="minorHAnsi" w:hAnsiTheme="minorHAnsi" w:cstheme="minorHAnsi"/>
                                      <w:b/>
                                      <w:bCs/>
                                      <w:sz w:val="20"/>
                                      <w:szCs w:val="20"/>
                                    </w:rPr>
                                    <w:t>Director</w:t>
                                  </w:r>
                                </w:p>
                              </w:tc>
                            </w:tr>
                            <w:tr w:rsidR="00D37D86" w:rsidRPr="00431081" w14:paraId="3D73EA94" w14:textId="77777777" w:rsidTr="00045E35">
                              <w:tc>
                                <w:tcPr>
                                  <w:tcW w:w="3823" w:type="dxa"/>
                                  <w:vAlign w:val="center"/>
                                </w:tcPr>
                                <w:p w14:paraId="366BA219" w14:textId="77777777" w:rsidR="00D37D86" w:rsidRPr="00B90078" w:rsidRDefault="00D37D86" w:rsidP="00C3759E">
                                  <w:pPr>
                                    <w:spacing w:before="10"/>
                                    <w:jc w:val="both"/>
                                    <w:rPr>
                                      <w:rFonts w:asciiTheme="minorHAnsi" w:hAnsiTheme="minorHAnsi" w:cstheme="minorHAnsi"/>
                                      <w:b/>
                                      <w:bCs/>
                                      <w:sz w:val="20"/>
                                      <w:szCs w:val="20"/>
                                    </w:rPr>
                                  </w:pPr>
                                  <w:r w:rsidRPr="00B90078">
                                    <w:rPr>
                                      <w:rFonts w:asciiTheme="minorHAnsi" w:hAnsiTheme="minorHAnsi" w:cstheme="minorHAnsi"/>
                                      <w:b/>
                                      <w:bCs/>
                                      <w:sz w:val="20"/>
                                      <w:szCs w:val="20"/>
                                    </w:rPr>
                                    <w:t>OCC10.0</w:t>
                                  </w:r>
                                  <w:r>
                                    <w:rPr>
                                      <w:rFonts w:asciiTheme="minorHAnsi" w:hAnsiTheme="minorHAnsi" w:cstheme="minorHAnsi"/>
                                      <w:b/>
                                      <w:bCs/>
                                      <w:sz w:val="20"/>
                                      <w:szCs w:val="20"/>
                                    </w:rPr>
                                    <w:t xml:space="preserve">3: </w:t>
                                  </w:r>
                                  <w:r>
                                    <w:rPr>
                                      <w:rFonts w:asciiTheme="minorHAnsi" w:hAnsiTheme="minorHAnsi" w:cstheme="minorHAnsi"/>
                                      <w:sz w:val="20"/>
                                      <w:szCs w:val="20"/>
                                    </w:rPr>
                                    <w:t>Achieve a high level of customer satisfaction across the telephony channel in the CSC</w:t>
                                  </w:r>
                                </w:p>
                              </w:tc>
                              <w:tc>
                                <w:tcPr>
                                  <w:tcW w:w="850" w:type="dxa"/>
                                  <w:vAlign w:val="center"/>
                                </w:tcPr>
                                <w:p w14:paraId="5A367145" w14:textId="77777777" w:rsidR="00D37D86" w:rsidRPr="00B90078" w:rsidRDefault="00D37D86" w:rsidP="00AA75E1">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1276" w:type="dxa"/>
                                  <w:vAlign w:val="center"/>
                                </w:tcPr>
                                <w:p w14:paraId="75A45C40" w14:textId="77777777" w:rsidR="00D37D86" w:rsidRPr="00B90078" w:rsidRDefault="00D37D86" w:rsidP="00C3759E">
                                  <w:pPr>
                                    <w:spacing w:before="10"/>
                                    <w:rPr>
                                      <w:rFonts w:asciiTheme="minorHAnsi" w:hAnsiTheme="minorHAnsi" w:cstheme="minorHAnsi"/>
                                      <w:b/>
                                      <w:bCs/>
                                      <w:sz w:val="20"/>
                                      <w:szCs w:val="20"/>
                                    </w:rPr>
                                  </w:pPr>
                                  <w:r w:rsidRPr="00B90078">
                                    <w:rPr>
                                      <w:rFonts w:asciiTheme="minorHAnsi" w:hAnsiTheme="minorHAnsi" w:cstheme="minorHAnsi"/>
                                      <w:b/>
                                      <w:bCs/>
                                      <w:sz w:val="20"/>
                                      <w:szCs w:val="20"/>
                                    </w:rPr>
                                    <w:t>Mark Haynes</w:t>
                                  </w:r>
                                </w:p>
                              </w:tc>
                            </w:tr>
                            <w:tr w:rsidR="00D37D86" w:rsidRPr="00431081" w14:paraId="6CA3CE18" w14:textId="77777777" w:rsidTr="00045E35">
                              <w:trPr>
                                <w:trHeight w:val="214"/>
                              </w:trPr>
                              <w:tc>
                                <w:tcPr>
                                  <w:tcW w:w="3823" w:type="dxa"/>
                                  <w:vAlign w:val="center"/>
                                </w:tcPr>
                                <w:p w14:paraId="22FAF5D3" w14:textId="77777777" w:rsidR="00D37D86" w:rsidRPr="00B90078" w:rsidRDefault="00D37D86" w:rsidP="00C3759E">
                                  <w:pPr>
                                    <w:spacing w:before="10"/>
                                    <w:ind w:hanging="30"/>
                                    <w:jc w:val="both"/>
                                    <w:rPr>
                                      <w:rFonts w:asciiTheme="minorHAnsi" w:hAnsiTheme="minorHAnsi" w:cstheme="minorHAnsi"/>
                                      <w:sz w:val="20"/>
                                      <w:szCs w:val="20"/>
                                    </w:rPr>
                                  </w:pPr>
                                  <w:r w:rsidRPr="00B90078">
                                    <w:rPr>
                                      <w:rFonts w:asciiTheme="minorHAnsi" w:hAnsiTheme="minorHAnsi" w:cstheme="minorHAnsi"/>
                                      <w:b/>
                                      <w:bCs/>
                                      <w:sz w:val="20"/>
                                      <w:szCs w:val="20"/>
                                    </w:rPr>
                                    <w:t>OCC10.04</w:t>
                                  </w:r>
                                  <w:r>
                                    <w:rPr>
                                      <w:rFonts w:asciiTheme="minorHAnsi" w:hAnsiTheme="minorHAnsi" w:cstheme="minorHAnsi"/>
                                      <w:b/>
                                      <w:bCs/>
                                      <w:sz w:val="20"/>
                                      <w:szCs w:val="20"/>
                                    </w:rPr>
                                    <w:t>:</w:t>
                                  </w:r>
                                  <w:r w:rsidRPr="00B90078">
                                    <w:rPr>
                                      <w:rFonts w:asciiTheme="minorHAnsi" w:hAnsiTheme="minorHAnsi" w:cstheme="minorHAnsi"/>
                                      <w:sz w:val="20"/>
                                      <w:szCs w:val="20"/>
                                    </w:rPr>
                                    <w:t xml:space="preserve"> Resolve customer enquiries received through the telephony channels at the first point of contact</w:t>
                                  </w:r>
                                </w:p>
                              </w:tc>
                              <w:tc>
                                <w:tcPr>
                                  <w:tcW w:w="850" w:type="dxa"/>
                                  <w:vAlign w:val="center"/>
                                </w:tcPr>
                                <w:p w14:paraId="10B57320" w14:textId="77777777" w:rsidR="00D37D86" w:rsidRPr="00B90078" w:rsidRDefault="00D37D86" w:rsidP="00AA75E1">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1276" w:type="dxa"/>
                                  <w:vAlign w:val="center"/>
                                </w:tcPr>
                                <w:p w14:paraId="1C0E5371" w14:textId="77777777" w:rsidR="00D37D86" w:rsidRPr="00B90078" w:rsidRDefault="00D37D86" w:rsidP="00C3759E">
                                  <w:pPr>
                                    <w:spacing w:before="10"/>
                                    <w:rPr>
                                      <w:rFonts w:asciiTheme="minorHAnsi" w:hAnsiTheme="minorHAnsi" w:cstheme="minorHAnsi"/>
                                      <w:b/>
                                      <w:bCs/>
                                      <w:color w:val="FF0000"/>
                                      <w:sz w:val="20"/>
                                      <w:szCs w:val="20"/>
                                    </w:rPr>
                                  </w:pPr>
                                  <w:r w:rsidRPr="00B90078">
                                    <w:rPr>
                                      <w:rFonts w:asciiTheme="minorHAnsi" w:hAnsiTheme="minorHAnsi" w:cstheme="minorHAnsi"/>
                                      <w:b/>
                                      <w:bCs/>
                                      <w:sz w:val="20"/>
                                      <w:szCs w:val="20"/>
                                    </w:rPr>
                                    <w:t>Mark Haynes</w:t>
                                  </w:r>
                                </w:p>
                              </w:tc>
                            </w:tr>
                            <w:tr w:rsidR="00D37D86" w:rsidRPr="00431081" w14:paraId="571AE250" w14:textId="77777777" w:rsidTr="00045E35">
                              <w:trPr>
                                <w:trHeight w:val="214"/>
                              </w:trPr>
                              <w:tc>
                                <w:tcPr>
                                  <w:tcW w:w="3823" w:type="dxa"/>
                                  <w:vAlign w:val="center"/>
                                </w:tcPr>
                                <w:p w14:paraId="632669D3" w14:textId="77777777" w:rsidR="00D37D86" w:rsidRPr="00B90078" w:rsidRDefault="00D37D86" w:rsidP="00C3759E">
                                  <w:pPr>
                                    <w:spacing w:before="10"/>
                                    <w:ind w:hanging="30"/>
                                    <w:jc w:val="both"/>
                                    <w:rPr>
                                      <w:rFonts w:asciiTheme="minorHAnsi" w:hAnsiTheme="minorHAnsi" w:cstheme="minorHAnsi"/>
                                      <w:b/>
                                      <w:bCs/>
                                      <w:sz w:val="20"/>
                                      <w:szCs w:val="20"/>
                                    </w:rPr>
                                  </w:pPr>
                                  <w:r w:rsidRPr="00B90078">
                                    <w:rPr>
                                      <w:rFonts w:asciiTheme="minorHAnsi" w:hAnsiTheme="minorHAnsi" w:cstheme="minorHAnsi"/>
                                      <w:b/>
                                      <w:bCs/>
                                      <w:sz w:val="20"/>
                                      <w:szCs w:val="20"/>
                                    </w:rPr>
                                    <w:t>OCC10.0</w:t>
                                  </w:r>
                                  <w:r>
                                    <w:rPr>
                                      <w:rFonts w:asciiTheme="minorHAnsi" w:hAnsiTheme="minorHAnsi" w:cstheme="minorHAnsi"/>
                                      <w:b/>
                                      <w:bCs/>
                                      <w:sz w:val="20"/>
                                      <w:szCs w:val="20"/>
                                    </w:rPr>
                                    <w:t>5:</w:t>
                                  </w:r>
                                  <w:r w:rsidRPr="00B90078">
                                    <w:rPr>
                                      <w:rFonts w:asciiTheme="minorHAnsi" w:hAnsiTheme="minorHAnsi" w:cstheme="minorHAnsi"/>
                                      <w:sz w:val="20"/>
                                      <w:szCs w:val="20"/>
                                    </w:rPr>
                                    <w:t xml:space="preserve"> </w:t>
                                  </w:r>
                                  <w:r>
                                    <w:rPr>
                                      <w:rFonts w:asciiTheme="minorHAnsi" w:hAnsiTheme="minorHAnsi" w:cstheme="minorHAnsi"/>
                                      <w:sz w:val="20"/>
                                      <w:szCs w:val="20"/>
                                    </w:rPr>
                                    <w:t>Number of telephone calls to CSC abandoned</w:t>
                                  </w:r>
                                </w:p>
                              </w:tc>
                              <w:tc>
                                <w:tcPr>
                                  <w:tcW w:w="850" w:type="dxa"/>
                                  <w:vAlign w:val="center"/>
                                </w:tcPr>
                                <w:p w14:paraId="53B6AE46" w14:textId="77777777" w:rsidR="00D37D86" w:rsidRPr="00AA75E1" w:rsidRDefault="00D37D86" w:rsidP="00AA75E1">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1276" w:type="dxa"/>
                                  <w:vAlign w:val="center"/>
                                </w:tcPr>
                                <w:p w14:paraId="22489F7A" w14:textId="77777777" w:rsidR="00D37D86" w:rsidRPr="00B90078" w:rsidRDefault="00D37D86" w:rsidP="00C3759E">
                                  <w:pPr>
                                    <w:spacing w:before="10"/>
                                    <w:rPr>
                                      <w:rFonts w:asciiTheme="minorHAnsi" w:hAnsiTheme="minorHAnsi" w:cstheme="minorHAnsi"/>
                                      <w:b/>
                                      <w:bCs/>
                                      <w:sz w:val="20"/>
                                      <w:szCs w:val="20"/>
                                    </w:rPr>
                                  </w:pPr>
                                  <w:r w:rsidRPr="00B90078">
                                    <w:rPr>
                                      <w:rFonts w:asciiTheme="minorHAnsi" w:hAnsiTheme="minorHAnsi" w:cstheme="minorHAnsi"/>
                                      <w:b/>
                                      <w:bCs/>
                                      <w:sz w:val="20"/>
                                      <w:szCs w:val="20"/>
                                    </w:rPr>
                                    <w:t>Mark Haynes</w:t>
                                  </w:r>
                                </w:p>
                              </w:tc>
                            </w:tr>
                            <w:tr w:rsidR="00D37D86" w:rsidRPr="00431081" w14:paraId="253CEC4D" w14:textId="77777777" w:rsidTr="00045E35">
                              <w:trPr>
                                <w:trHeight w:val="214"/>
                              </w:trPr>
                              <w:tc>
                                <w:tcPr>
                                  <w:tcW w:w="3823" w:type="dxa"/>
                                  <w:vAlign w:val="center"/>
                                </w:tcPr>
                                <w:p w14:paraId="3D68EC7B" w14:textId="77777777" w:rsidR="00D37D86" w:rsidRPr="00B90078" w:rsidRDefault="00D37D86" w:rsidP="00103183">
                                  <w:pPr>
                                    <w:spacing w:before="10"/>
                                    <w:ind w:hanging="30"/>
                                    <w:jc w:val="both"/>
                                    <w:rPr>
                                      <w:rFonts w:asciiTheme="minorHAnsi" w:hAnsiTheme="minorHAnsi" w:cstheme="minorHAnsi"/>
                                      <w:b/>
                                      <w:bCs/>
                                      <w:sz w:val="20"/>
                                      <w:szCs w:val="20"/>
                                    </w:rPr>
                                  </w:pPr>
                                  <w:bookmarkStart w:id="5" w:name="_Hlk111708347"/>
                                  <w:r w:rsidRPr="00FA1D92">
                                    <w:rPr>
                                      <w:rFonts w:asciiTheme="minorHAnsi" w:hAnsiTheme="minorHAnsi" w:cstheme="minorHAnsi"/>
                                      <w:b/>
                                      <w:bCs/>
                                      <w:sz w:val="20"/>
                                      <w:szCs w:val="20"/>
                                    </w:rPr>
                                    <w:t>OCC11.01</w:t>
                                  </w:r>
                                  <w:r>
                                    <w:rPr>
                                      <w:rFonts w:asciiTheme="minorHAnsi" w:hAnsiTheme="minorHAnsi" w:cstheme="minorHAnsi"/>
                                      <w:b/>
                                      <w:bCs/>
                                      <w:sz w:val="20"/>
                                      <w:szCs w:val="20"/>
                                    </w:rPr>
                                    <w:t>:</w:t>
                                  </w:r>
                                  <w:r w:rsidRPr="00FA1D92">
                                    <w:rPr>
                                      <w:rFonts w:asciiTheme="minorHAnsi" w:hAnsiTheme="minorHAnsi" w:cstheme="minorHAnsi"/>
                                      <w:b/>
                                      <w:bCs/>
                                      <w:sz w:val="20"/>
                                      <w:szCs w:val="20"/>
                                    </w:rPr>
                                    <w:t xml:space="preserve"> </w:t>
                                  </w:r>
                                  <w:bookmarkEnd w:id="5"/>
                                  <w:r w:rsidRPr="00FA1D92">
                                    <w:rPr>
                                      <w:rFonts w:asciiTheme="minorHAnsi" w:hAnsiTheme="minorHAnsi" w:cstheme="minorHAnsi"/>
                                      <w:sz w:val="20"/>
                                      <w:szCs w:val="20"/>
                                    </w:rPr>
                                    <w:t>Overall forecast revenue variance across the Council</w:t>
                                  </w:r>
                                </w:p>
                              </w:tc>
                              <w:tc>
                                <w:tcPr>
                                  <w:tcW w:w="850" w:type="dxa"/>
                                  <w:vAlign w:val="center"/>
                                </w:tcPr>
                                <w:p w14:paraId="7D450737" w14:textId="77777777" w:rsidR="00D37D86" w:rsidRPr="00AA75E1" w:rsidRDefault="00D37D86" w:rsidP="00103183">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1276" w:type="dxa"/>
                                  <w:vAlign w:val="center"/>
                                </w:tcPr>
                                <w:p w14:paraId="5C32D5B2" w14:textId="77777777" w:rsidR="00D37D86" w:rsidRPr="00B90078" w:rsidRDefault="00D37D86" w:rsidP="00103183">
                                  <w:pPr>
                                    <w:spacing w:before="10"/>
                                    <w:rPr>
                                      <w:rFonts w:asciiTheme="minorHAnsi" w:hAnsiTheme="minorHAnsi" w:cstheme="minorHAnsi"/>
                                      <w:b/>
                                      <w:bCs/>
                                      <w:sz w:val="20"/>
                                      <w:szCs w:val="20"/>
                                    </w:rPr>
                                  </w:pPr>
                                  <w:r>
                                    <w:rPr>
                                      <w:rFonts w:asciiTheme="minorHAnsi" w:hAnsiTheme="minorHAnsi" w:cstheme="minorHAnsi"/>
                                      <w:b/>
                                      <w:bCs/>
                                      <w:sz w:val="20"/>
                                      <w:szCs w:val="20"/>
                                    </w:rPr>
                                    <w:t>Lorna Baxter</w:t>
                                  </w:r>
                                </w:p>
                              </w:tc>
                            </w:tr>
                            <w:tr w:rsidR="00D37D86" w:rsidRPr="00431081" w14:paraId="79080DA0" w14:textId="77777777" w:rsidTr="00045E35">
                              <w:trPr>
                                <w:trHeight w:val="214"/>
                              </w:trPr>
                              <w:tc>
                                <w:tcPr>
                                  <w:tcW w:w="3823" w:type="dxa"/>
                                  <w:vAlign w:val="center"/>
                                </w:tcPr>
                                <w:p w14:paraId="2D420942" w14:textId="77777777" w:rsidR="00D37D86" w:rsidRPr="00B90078" w:rsidRDefault="00D37D86" w:rsidP="00103183">
                                  <w:pPr>
                                    <w:spacing w:before="10"/>
                                    <w:ind w:hanging="30"/>
                                    <w:jc w:val="both"/>
                                    <w:rPr>
                                      <w:rFonts w:asciiTheme="minorHAnsi" w:hAnsiTheme="minorHAnsi" w:cstheme="minorHAnsi"/>
                                      <w:b/>
                                      <w:bCs/>
                                      <w:sz w:val="20"/>
                                      <w:szCs w:val="20"/>
                                    </w:rPr>
                                  </w:pPr>
                                  <w:r w:rsidRPr="00FA1D92">
                                    <w:rPr>
                                      <w:rFonts w:asciiTheme="minorHAnsi" w:hAnsiTheme="minorHAnsi" w:cstheme="minorHAnsi"/>
                                      <w:b/>
                                      <w:bCs/>
                                      <w:sz w:val="20"/>
                                      <w:szCs w:val="20"/>
                                    </w:rPr>
                                    <w:t>OCC11.02</w:t>
                                  </w:r>
                                  <w:r>
                                    <w:rPr>
                                      <w:rFonts w:asciiTheme="minorHAnsi" w:hAnsiTheme="minorHAnsi" w:cstheme="minorHAnsi"/>
                                      <w:b/>
                                      <w:bCs/>
                                      <w:sz w:val="20"/>
                                      <w:szCs w:val="20"/>
                                    </w:rPr>
                                    <w:t>:</w:t>
                                  </w:r>
                                  <w:r w:rsidRPr="00FA1D92">
                                    <w:rPr>
                                      <w:rFonts w:asciiTheme="minorHAnsi" w:hAnsiTheme="minorHAnsi" w:cstheme="minorHAnsi"/>
                                      <w:b/>
                                      <w:bCs/>
                                      <w:sz w:val="20"/>
                                      <w:szCs w:val="20"/>
                                    </w:rPr>
                                    <w:t xml:space="preserve"> </w:t>
                                  </w:r>
                                  <w:r w:rsidRPr="00FA1D92">
                                    <w:rPr>
                                      <w:rFonts w:asciiTheme="minorHAnsi" w:hAnsiTheme="minorHAnsi" w:cstheme="minorHAnsi"/>
                                      <w:sz w:val="20"/>
                                      <w:szCs w:val="20"/>
                                    </w:rPr>
                                    <w:t>Achievement of planned savings</w:t>
                                  </w:r>
                                </w:p>
                              </w:tc>
                              <w:tc>
                                <w:tcPr>
                                  <w:tcW w:w="850" w:type="dxa"/>
                                  <w:vAlign w:val="center"/>
                                </w:tcPr>
                                <w:p w14:paraId="596A0729" w14:textId="77777777" w:rsidR="00D37D86" w:rsidRPr="00AA75E1" w:rsidRDefault="00D37D86" w:rsidP="00103183">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Red</w:t>
                                  </w:r>
                                </w:p>
                              </w:tc>
                              <w:tc>
                                <w:tcPr>
                                  <w:tcW w:w="1276" w:type="dxa"/>
                                  <w:vAlign w:val="center"/>
                                </w:tcPr>
                                <w:p w14:paraId="53A19619" w14:textId="77777777" w:rsidR="00D37D86" w:rsidRPr="00B90078" w:rsidRDefault="00D37D86" w:rsidP="00103183">
                                  <w:pPr>
                                    <w:spacing w:before="10"/>
                                    <w:rPr>
                                      <w:rFonts w:asciiTheme="minorHAnsi" w:hAnsiTheme="minorHAnsi" w:cstheme="minorHAnsi"/>
                                      <w:b/>
                                      <w:bCs/>
                                      <w:sz w:val="20"/>
                                      <w:szCs w:val="20"/>
                                    </w:rPr>
                                  </w:pPr>
                                  <w:r>
                                    <w:rPr>
                                      <w:rFonts w:asciiTheme="minorHAnsi" w:hAnsiTheme="minorHAnsi" w:cstheme="minorHAnsi"/>
                                      <w:b/>
                                      <w:bCs/>
                                      <w:sz w:val="20"/>
                                      <w:szCs w:val="20"/>
                                    </w:rPr>
                                    <w:t>Lorna Baxter</w:t>
                                  </w:r>
                                </w:p>
                              </w:tc>
                            </w:tr>
                            <w:tr w:rsidR="00D37D86" w:rsidRPr="00431081" w14:paraId="4B4C7B65" w14:textId="77777777" w:rsidTr="00045E35">
                              <w:trPr>
                                <w:trHeight w:val="214"/>
                              </w:trPr>
                              <w:tc>
                                <w:tcPr>
                                  <w:tcW w:w="3823" w:type="dxa"/>
                                  <w:vAlign w:val="center"/>
                                </w:tcPr>
                                <w:p w14:paraId="44FFBD71" w14:textId="77777777" w:rsidR="00D37D86" w:rsidRPr="00B90078" w:rsidRDefault="00D37D86" w:rsidP="00103183">
                                  <w:pPr>
                                    <w:spacing w:before="10"/>
                                    <w:ind w:hanging="30"/>
                                    <w:jc w:val="both"/>
                                    <w:rPr>
                                      <w:rFonts w:asciiTheme="minorHAnsi" w:hAnsiTheme="minorHAnsi" w:cstheme="minorHAnsi"/>
                                      <w:b/>
                                      <w:bCs/>
                                      <w:sz w:val="20"/>
                                      <w:szCs w:val="20"/>
                                    </w:rPr>
                                  </w:pPr>
                                  <w:r w:rsidRPr="00FA1D92">
                                    <w:rPr>
                                      <w:rFonts w:asciiTheme="minorHAnsi" w:hAnsiTheme="minorHAnsi" w:cstheme="minorHAnsi"/>
                                      <w:b/>
                                      <w:bCs/>
                                      <w:sz w:val="20"/>
                                      <w:szCs w:val="20"/>
                                    </w:rPr>
                                    <w:t>OCC11.05</w:t>
                                  </w:r>
                                  <w:r>
                                    <w:rPr>
                                      <w:rFonts w:asciiTheme="minorHAnsi" w:hAnsiTheme="minorHAnsi" w:cstheme="minorHAnsi"/>
                                      <w:b/>
                                      <w:bCs/>
                                      <w:sz w:val="20"/>
                                      <w:szCs w:val="20"/>
                                    </w:rPr>
                                    <w:t>:</w:t>
                                  </w:r>
                                  <w:r w:rsidRPr="00FA1D92">
                                    <w:rPr>
                                      <w:rFonts w:asciiTheme="minorHAnsi" w:hAnsiTheme="minorHAnsi" w:cstheme="minorHAnsi"/>
                                      <w:b/>
                                      <w:bCs/>
                                      <w:sz w:val="20"/>
                                      <w:szCs w:val="20"/>
                                    </w:rPr>
                                    <w:t xml:space="preserve"> </w:t>
                                  </w:r>
                                  <w:r w:rsidRPr="00FA1D92">
                                    <w:rPr>
                                      <w:rFonts w:asciiTheme="minorHAnsi" w:hAnsiTheme="minorHAnsi" w:cstheme="minorHAnsi"/>
                                      <w:sz w:val="20"/>
                                      <w:szCs w:val="20"/>
                                    </w:rPr>
                                    <w:t>Directorates deliver services and achieve planned performance within agreed budget</w:t>
                                  </w:r>
                                </w:p>
                              </w:tc>
                              <w:tc>
                                <w:tcPr>
                                  <w:tcW w:w="850" w:type="dxa"/>
                                  <w:vAlign w:val="center"/>
                                </w:tcPr>
                                <w:p w14:paraId="22137DE1" w14:textId="77777777" w:rsidR="00D37D86" w:rsidRPr="00AA75E1" w:rsidRDefault="00D37D86" w:rsidP="00103183">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Red</w:t>
                                  </w:r>
                                </w:p>
                              </w:tc>
                              <w:tc>
                                <w:tcPr>
                                  <w:tcW w:w="1276" w:type="dxa"/>
                                  <w:vAlign w:val="center"/>
                                </w:tcPr>
                                <w:p w14:paraId="60D0F4CE" w14:textId="77777777" w:rsidR="00D37D86" w:rsidRPr="00B90078" w:rsidRDefault="00D37D86" w:rsidP="00103183">
                                  <w:pPr>
                                    <w:spacing w:before="10"/>
                                    <w:rPr>
                                      <w:rFonts w:asciiTheme="minorHAnsi" w:hAnsiTheme="minorHAnsi" w:cstheme="minorHAnsi"/>
                                      <w:b/>
                                      <w:bCs/>
                                      <w:sz w:val="20"/>
                                      <w:szCs w:val="20"/>
                                    </w:rPr>
                                  </w:pPr>
                                  <w:r>
                                    <w:rPr>
                                      <w:rFonts w:asciiTheme="minorHAnsi" w:hAnsiTheme="minorHAnsi" w:cstheme="minorHAnsi"/>
                                      <w:b/>
                                      <w:bCs/>
                                      <w:sz w:val="20"/>
                                      <w:szCs w:val="20"/>
                                    </w:rPr>
                                    <w:t>Lorna Baxter</w:t>
                                  </w:r>
                                </w:p>
                              </w:tc>
                            </w:tr>
                            <w:tr w:rsidR="00D37D86" w:rsidRPr="00431081" w14:paraId="14AE8061" w14:textId="77777777" w:rsidTr="00045E35">
                              <w:trPr>
                                <w:trHeight w:val="214"/>
                              </w:trPr>
                              <w:tc>
                                <w:tcPr>
                                  <w:tcW w:w="3823" w:type="dxa"/>
                                  <w:vAlign w:val="center"/>
                                </w:tcPr>
                                <w:p w14:paraId="5026B57F" w14:textId="77777777" w:rsidR="00D37D86" w:rsidRPr="00FA1D92" w:rsidRDefault="00D37D86" w:rsidP="00103183">
                                  <w:pPr>
                                    <w:spacing w:before="10"/>
                                    <w:ind w:hanging="30"/>
                                    <w:jc w:val="both"/>
                                    <w:rPr>
                                      <w:rFonts w:asciiTheme="minorHAnsi" w:hAnsiTheme="minorHAnsi" w:cstheme="minorHAnsi"/>
                                      <w:b/>
                                      <w:bCs/>
                                      <w:sz w:val="20"/>
                                      <w:szCs w:val="20"/>
                                    </w:rPr>
                                  </w:pPr>
                                  <w:r>
                                    <w:rPr>
                                      <w:rFonts w:asciiTheme="minorHAnsi" w:hAnsiTheme="minorHAnsi" w:cstheme="minorHAnsi"/>
                                      <w:b/>
                                      <w:bCs/>
                                      <w:sz w:val="20"/>
                                      <w:szCs w:val="20"/>
                                    </w:rPr>
                                    <w:t xml:space="preserve">OCC11.06: </w:t>
                                  </w:r>
                                  <w:r w:rsidRPr="00285619">
                                    <w:rPr>
                                      <w:sz w:val="20"/>
                                      <w:szCs w:val="20"/>
                                    </w:rPr>
                                    <w:t>Total outturn variation for the dedicated schools grant funded services</w:t>
                                  </w:r>
                                </w:p>
                              </w:tc>
                              <w:tc>
                                <w:tcPr>
                                  <w:tcW w:w="850" w:type="dxa"/>
                                  <w:vAlign w:val="center"/>
                                </w:tcPr>
                                <w:p w14:paraId="780DA0E0" w14:textId="77777777" w:rsidR="00D37D86" w:rsidRPr="00AA75E1" w:rsidRDefault="00D37D86" w:rsidP="00103183">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Red</w:t>
                                  </w:r>
                                </w:p>
                              </w:tc>
                              <w:tc>
                                <w:tcPr>
                                  <w:tcW w:w="1276" w:type="dxa"/>
                                  <w:vAlign w:val="center"/>
                                </w:tcPr>
                                <w:p w14:paraId="3DE1A61D" w14:textId="77777777" w:rsidR="00D37D86" w:rsidRDefault="00D37D86" w:rsidP="00103183">
                                  <w:pPr>
                                    <w:spacing w:before="10"/>
                                    <w:rPr>
                                      <w:rFonts w:asciiTheme="minorHAnsi" w:hAnsiTheme="minorHAnsi" w:cstheme="minorHAnsi"/>
                                      <w:b/>
                                      <w:bCs/>
                                      <w:sz w:val="20"/>
                                      <w:szCs w:val="20"/>
                                    </w:rPr>
                                  </w:pPr>
                                  <w:r>
                                    <w:rPr>
                                      <w:rFonts w:asciiTheme="minorHAnsi" w:hAnsiTheme="minorHAnsi" w:cstheme="minorHAnsi"/>
                                      <w:b/>
                                      <w:bCs/>
                                      <w:sz w:val="20"/>
                                      <w:szCs w:val="20"/>
                                    </w:rPr>
                                    <w:t>Lorna Baxter</w:t>
                                  </w:r>
                                </w:p>
                              </w:tc>
                            </w:tr>
                            <w:tr w:rsidR="00D37D86" w:rsidRPr="00431081" w14:paraId="7471BD12" w14:textId="77777777" w:rsidTr="00045E35">
                              <w:trPr>
                                <w:trHeight w:val="214"/>
                              </w:trPr>
                              <w:tc>
                                <w:tcPr>
                                  <w:tcW w:w="3823" w:type="dxa"/>
                                  <w:vAlign w:val="center"/>
                                </w:tcPr>
                                <w:p w14:paraId="057FB48D" w14:textId="77777777" w:rsidR="00D37D86" w:rsidRPr="00B90078" w:rsidRDefault="00D37D86" w:rsidP="00103183">
                                  <w:pPr>
                                    <w:spacing w:before="10"/>
                                    <w:ind w:hanging="30"/>
                                    <w:jc w:val="both"/>
                                    <w:rPr>
                                      <w:rFonts w:asciiTheme="minorHAnsi" w:hAnsiTheme="minorHAnsi" w:cstheme="minorHAnsi"/>
                                      <w:b/>
                                      <w:bCs/>
                                      <w:sz w:val="20"/>
                                      <w:szCs w:val="20"/>
                                    </w:rPr>
                                  </w:pPr>
                                  <w:r w:rsidRPr="00B90078">
                                    <w:rPr>
                                      <w:rFonts w:asciiTheme="minorHAnsi" w:hAnsiTheme="minorHAnsi" w:cstheme="minorHAnsi"/>
                                      <w:b/>
                                      <w:bCs/>
                                      <w:sz w:val="20"/>
                                      <w:szCs w:val="20"/>
                                    </w:rPr>
                                    <w:t>OCC1</w:t>
                                  </w:r>
                                  <w:r>
                                    <w:rPr>
                                      <w:rFonts w:asciiTheme="minorHAnsi" w:hAnsiTheme="minorHAnsi" w:cstheme="minorHAnsi"/>
                                      <w:b/>
                                      <w:bCs/>
                                      <w:sz w:val="20"/>
                                      <w:szCs w:val="20"/>
                                    </w:rPr>
                                    <w:t>1</w:t>
                                  </w:r>
                                  <w:r w:rsidRPr="00B90078">
                                    <w:rPr>
                                      <w:rFonts w:asciiTheme="minorHAnsi" w:hAnsiTheme="minorHAnsi" w:cstheme="minorHAnsi"/>
                                      <w:b/>
                                      <w:bCs/>
                                      <w:sz w:val="20"/>
                                      <w:szCs w:val="20"/>
                                    </w:rPr>
                                    <w:t>.0</w:t>
                                  </w:r>
                                  <w:r>
                                    <w:rPr>
                                      <w:rFonts w:asciiTheme="minorHAnsi" w:hAnsiTheme="minorHAnsi" w:cstheme="minorHAnsi"/>
                                      <w:b/>
                                      <w:bCs/>
                                      <w:sz w:val="20"/>
                                      <w:szCs w:val="20"/>
                                    </w:rPr>
                                    <w:t xml:space="preserve">8: </w:t>
                                  </w:r>
                                  <w:r>
                                    <w:rPr>
                                      <w:rFonts w:asciiTheme="minorHAnsi" w:hAnsiTheme="minorHAnsi" w:cstheme="minorHAnsi"/>
                                      <w:sz w:val="20"/>
                                      <w:szCs w:val="20"/>
                                    </w:rPr>
                                    <w:t xml:space="preserve">Percentage of agreed invoices paid within 30 days </w:t>
                                  </w:r>
                                </w:p>
                              </w:tc>
                              <w:tc>
                                <w:tcPr>
                                  <w:tcW w:w="850" w:type="dxa"/>
                                  <w:vAlign w:val="center"/>
                                </w:tcPr>
                                <w:p w14:paraId="0F3E3841" w14:textId="77777777" w:rsidR="00D37D86" w:rsidRPr="00AA75E1" w:rsidRDefault="00D37D86" w:rsidP="00103183">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1276" w:type="dxa"/>
                                  <w:vAlign w:val="center"/>
                                </w:tcPr>
                                <w:p w14:paraId="6100BD79" w14:textId="77777777" w:rsidR="00D37D86" w:rsidRPr="00B90078" w:rsidRDefault="00D37D86" w:rsidP="00103183">
                                  <w:pPr>
                                    <w:spacing w:before="10"/>
                                    <w:rPr>
                                      <w:rFonts w:asciiTheme="minorHAnsi" w:hAnsiTheme="minorHAnsi" w:cstheme="minorHAnsi"/>
                                      <w:b/>
                                      <w:bCs/>
                                      <w:sz w:val="20"/>
                                      <w:szCs w:val="20"/>
                                    </w:rPr>
                                  </w:pPr>
                                  <w:r>
                                    <w:rPr>
                                      <w:rFonts w:asciiTheme="minorHAnsi" w:hAnsiTheme="minorHAnsi" w:cstheme="minorHAnsi"/>
                                      <w:b/>
                                      <w:bCs/>
                                      <w:sz w:val="20"/>
                                      <w:szCs w:val="20"/>
                                    </w:rPr>
                                    <w:t>Lorna Baxter</w:t>
                                  </w:r>
                                </w:p>
                              </w:tc>
                            </w:tr>
                            <w:tr w:rsidR="00D37D86" w:rsidRPr="00431081" w14:paraId="4A075495" w14:textId="77777777" w:rsidTr="00045E35">
                              <w:trPr>
                                <w:trHeight w:val="214"/>
                              </w:trPr>
                              <w:tc>
                                <w:tcPr>
                                  <w:tcW w:w="3823" w:type="dxa"/>
                                  <w:vAlign w:val="center"/>
                                </w:tcPr>
                                <w:p w14:paraId="4A6F4DE1" w14:textId="77777777" w:rsidR="00D37D86" w:rsidRPr="00B90078" w:rsidRDefault="00D37D86" w:rsidP="00103183">
                                  <w:pPr>
                                    <w:spacing w:before="10"/>
                                    <w:ind w:hanging="30"/>
                                    <w:jc w:val="both"/>
                                    <w:rPr>
                                      <w:rFonts w:asciiTheme="minorHAnsi" w:hAnsiTheme="minorHAnsi" w:cstheme="minorHAnsi"/>
                                      <w:b/>
                                      <w:bCs/>
                                      <w:sz w:val="20"/>
                                      <w:szCs w:val="20"/>
                                    </w:rPr>
                                  </w:pPr>
                                  <w:r w:rsidRPr="00B90078">
                                    <w:rPr>
                                      <w:rFonts w:asciiTheme="minorHAnsi" w:hAnsiTheme="minorHAnsi" w:cstheme="minorHAnsi"/>
                                      <w:b/>
                                      <w:bCs/>
                                      <w:sz w:val="20"/>
                                      <w:szCs w:val="20"/>
                                    </w:rPr>
                                    <w:t>OCC1</w:t>
                                  </w:r>
                                  <w:r>
                                    <w:rPr>
                                      <w:rFonts w:asciiTheme="minorHAnsi" w:hAnsiTheme="minorHAnsi" w:cstheme="minorHAnsi"/>
                                      <w:b/>
                                      <w:bCs/>
                                      <w:sz w:val="20"/>
                                      <w:szCs w:val="20"/>
                                    </w:rPr>
                                    <w:t>1</w:t>
                                  </w:r>
                                  <w:r w:rsidRPr="00B90078">
                                    <w:rPr>
                                      <w:rFonts w:asciiTheme="minorHAnsi" w:hAnsiTheme="minorHAnsi" w:cstheme="minorHAnsi"/>
                                      <w:b/>
                                      <w:bCs/>
                                      <w:sz w:val="20"/>
                                      <w:szCs w:val="20"/>
                                    </w:rPr>
                                    <w:t>.</w:t>
                                  </w:r>
                                  <w:r>
                                    <w:rPr>
                                      <w:rFonts w:asciiTheme="minorHAnsi" w:hAnsiTheme="minorHAnsi" w:cstheme="minorHAnsi"/>
                                      <w:b/>
                                      <w:bCs/>
                                      <w:sz w:val="20"/>
                                      <w:szCs w:val="20"/>
                                    </w:rPr>
                                    <w:t xml:space="preserve">11: </w:t>
                                  </w:r>
                                  <w:r>
                                    <w:rPr>
                                      <w:rFonts w:asciiTheme="minorHAnsi" w:hAnsiTheme="minorHAnsi" w:cstheme="minorHAnsi"/>
                                      <w:sz w:val="20"/>
                                      <w:szCs w:val="20"/>
                                    </w:rPr>
                                    <w:t>Debt requiring impairment – ASC Contribution Debtors</w:t>
                                  </w:r>
                                </w:p>
                              </w:tc>
                              <w:tc>
                                <w:tcPr>
                                  <w:tcW w:w="850" w:type="dxa"/>
                                  <w:vAlign w:val="center"/>
                                </w:tcPr>
                                <w:p w14:paraId="2B0B91C6" w14:textId="77777777" w:rsidR="00D37D86" w:rsidRPr="00AA75E1" w:rsidRDefault="00D37D86" w:rsidP="00AA75E1">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Red</w:t>
                                  </w:r>
                                </w:p>
                              </w:tc>
                              <w:tc>
                                <w:tcPr>
                                  <w:tcW w:w="1276" w:type="dxa"/>
                                  <w:vAlign w:val="center"/>
                                </w:tcPr>
                                <w:p w14:paraId="75E41505" w14:textId="77777777" w:rsidR="00D37D86" w:rsidRPr="00B90078" w:rsidRDefault="00D37D86" w:rsidP="00103183">
                                  <w:pPr>
                                    <w:spacing w:before="10"/>
                                    <w:rPr>
                                      <w:rFonts w:asciiTheme="minorHAnsi" w:hAnsiTheme="minorHAnsi" w:cstheme="minorHAnsi"/>
                                      <w:b/>
                                      <w:bCs/>
                                      <w:sz w:val="20"/>
                                      <w:szCs w:val="20"/>
                                    </w:rPr>
                                  </w:pPr>
                                  <w:r>
                                    <w:rPr>
                                      <w:rFonts w:asciiTheme="minorHAnsi" w:hAnsiTheme="minorHAnsi" w:cstheme="minorHAnsi"/>
                                      <w:b/>
                                      <w:bCs/>
                                      <w:sz w:val="20"/>
                                      <w:szCs w:val="20"/>
                                    </w:rPr>
                                    <w:t>Lorna Baxter</w:t>
                                  </w:r>
                                </w:p>
                              </w:tc>
                            </w:tr>
                            <w:tr w:rsidR="00D37D86" w:rsidRPr="00431081" w14:paraId="5A842FBA" w14:textId="77777777" w:rsidTr="00045E35">
                              <w:trPr>
                                <w:trHeight w:val="214"/>
                              </w:trPr>
                              <w:tc>
                                <w:tcPr>
                                  <w:tcW w:w="3823" w:type="dxa"/>
                                  <w:vAlign w:val="center"/>
                                </w:tcPr>
                                <w:p w14:paraId="1644A409" w14:textId="77777777" w:rsidR="00D37D86" w:rsidRPr="00561709" w:rsidRDefault="00D37D86" w:rsidP="00561709">
                                  <w:pPr>
                                    <w:spacing w:before="10"/>
                                    <w:ind w:hanging="30"/>
                                    <w:rPr>
                                      <w:rFonts w:asciiTheme="minorHAnsi" w:hAnsiTheme="minorHAnsi" w:cstheme="minorHAnsi"/>
                                      <w:sz w:val="20"/>
                                      <w:szCs w:val="20"/>
                                    </w:rPr>
                                  </w:pPr>
                                  <w:r>
                                    <w:rPr>
                                      <w:rFonts w:asciiTheme="minorHAnsi" w:hAnsiTheme="minorHAnsi" w:cstheme="minorHAnsi"/>
                                      <w:b/>
                                      <w:bCs/>
                                      <w:sz w:val="20"/>
                                      <w:szCs w:val="20"/>
                                    </w:rPr>
                                    <w:t xml:space="preserve">OCC11.12 </w:t>
                                  </w:r>
                                  <w:r w:rsidRPr="00561709">
                                    <w:rPr>
                                      <w:rFonts w:asciiTheme="minorHAnsi" w:hAnsiTheme="minorHAnsi" w:cstheme="minorHAnsi"/>
                                      <w:sz w:val="20"/>
                                      <w:szCs w:val="20"/>
                                    </w:rPr>
                                    <w:t>Average cash balance compared to forecast average cash balance</w:t>
                                  </w:r>
                                </w:p>
                              </w:tc>
                              <w:tc>
                                <w:tcPr>
                                  <w:tcW w:w="850" w:type="dxa"/>
                                  <w:vAlign w:val="center"/>
                                </w:tcPr>
                                <w:p w14:paraId="6255A0D2" w14:textId="77777777" w:rsidR="00D37D86" w:rsidRPr="00AA75E1" w:rsidRDefault="00D37D86" w:rsidP="00AA75E1">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1276" w:type="dxa"/>
                                  <w:vAlign w:val="center"/>
                                </w:tcPr>
                                <w:p w14:paraId="0A0770EF" w14:textId="77777777" w:rsidR="00D37D86" w:rsidRPr="00B90078" w:rsidRDefault="00D37D86" w:rsidP="00103183">
                                  <w:pPr>
                                    <w:spacing w:before="10"/>
                                    <w:rPr>
                                      <w:rFonts w:asciiTheme="minorHAnsi" w:hAnsiTheme="minorHAnsi" w:cstheme="minorHAnsi"/>
                                      <w:b/>
                                      <w:bCs/>
                                      <w:sz w:val="20"/>
                                      <w:szCs w:val="20"/>
                                    </w:rPr>
                                  </w:pPr>
                                  <w:r>
                                    <w:rPr>
                                      <w:rFonts w:asciiTheme="minorHAnsi" w:hAnsiTheme="minorHAnsi" w:cstheme="minorHAnsi"/>
                                      <w:b/>
                                      <w:bCs/>
                                      <w:sz w:val="20"/>
                                      <w:szCs w:val="20"/>
                                    </w:rPr>
                                    <w:t>Lorna Baxter</w:t>
                                  </w:r>
                                </w:p>
                              </w:tc>
                            </w:tr>
                            <w:tr w:rsidR="00D37D86" w:rsidRPr="00431081" w14:paraId="0B1AAB0E" w14:textId="77777777" w:rsidTr="00045E35">
                              <w:trPr>
                                <w:trHeight w:val="214"/>
                              </w:trPr>
                              <w:tc>
                                <w:tcPr>
                                  <w:tcW w:w="3823" w:type="dxa"/>
                                  <w:vAlign w:val="center"/>
                                </w:tcPr>
                                <w:p w14:paraId="1C27E789" w14:textId="77777777" w:rsidR="00D37D86" w:rsidRPr="00B90078" w:rsidRDefault="00D37D86" w:rsidP="00561709">
                                  <w:pPr>
                                    <w:spacing w:before="10"/>
                                    <w:ind w:hanging="30"/>
                                    <w:jc w:val="both"/>
                                    <w:rPr>
                                      <w:rFonts w:asciiTheme="minorHAnsi" w:hAnsiTheme="minorHAnsi" w:cstheme="minorHAnsi"/>
                                      <w:b/>
                                      <w:bCs/>
                                      <w:sz w:val="20"/>
                                      <w:szCs w:val="20"/>
                                    </w:rPr>
                                  </w:pPr>
                                  <w:r w:rsidRPr="00B90078">
                                    <w:rPr>
                                      <w:rFonts w:asciiTheme="minorHAnsi" w:hAnsiTheme="minorHAnsi" w:cstheme="minorHAnsi"/>
                                      <w:b/>
                                      <w:bCs/>
                                      <w:sz w:val="20"/>
                                      <w:szCs w:val="20"/>
                                    </w:rPr>
                                    <w:t>OCC1</w:t>
                                  </w:r>
                                  <w:r>
                                    <w:rPr>
                                      <w:rFonts w:asciiTheme="minorHAnsi" w:hAnsiTheme="minorHAnsi" w:cstheme="minorHAnsi"/>
                                      <w:b/>
                                      <w:bCs/>
                                      <w:sz w:val="20"/>
                                      <w:szCs w:val="20"/>
                                    </w:rPr>
                                    <w:t>1</w:t>
                                  </w:r>
                                  <w:r w:rsidRPr="00B90078">
                                    <w:rPr>
                                      <w:rFonts w:asciiTheme="minorHAnsi" w:hAnsiTheme="minorHAnsi" w:cstheme="minorHAnsi"/>
                                      <w:b/>
                                      <w:bCs/>
                                      <w:sz w:val="20"/>
                                      <w:szCs w:val="20"/>
                                    </w:rPr>
                                    <w:t>.</w:t>
                                  </w:r>
                                  <w:r>
                                    <w:rPr>
                                      <w:rFonts w:asciiTheme="minorHAnsi" w:hAnsiTheme="minorHAnsi" w:cstheme="minorHAnsi"/>
                                      <w:b/>
                                      <w:bCs/>
                                      <w:sz w:val="20"/>
                                      <w:szCs w:val="20"/>
                                    </w:rPr>
                                    <w:t xml:space="preserve">15: </w:t>
                                  </w:r>
                                  <w:r>
                                    <w:rPr>
                                      <w:rFonts w:asciiTheme="minorHAnsi" w:hAnsiTheme="minorHAnsi" w:cstheme="minorHAnsi"/>
                                      <w:sz w:val="20"/>
                                      <w:szCs w:val="20"/>
                                    </w:rPr>
                                    <w:t>Invoice Collection Rate – ASC Contribution debtors</w:t>
                                  </w:r>
                                </w:p>
                              </w:tc>
                              <w:tc>
                                <w:tcPr>
                                  <w:tcW w:w="850" w:type="dxa"/>
                                  <w:vAlign w:val="center"/>
                                </w:tcPr>
                                <w:p w14:paraId="41EA3B00" w14:textId="77777777" w:rsidR="00D37D86" w:rsidRPr="00AA75E1" w:rsidRDefault="00D37D86" w:rsidP="00AA75E1">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1276" w:type="dxa"/>
                                  <w:vAlign w:val="center"/>
                                </w:tcPr>
                                <w:p w14:paraId="51E64CBC" w14:textId="77777777" w:rsidR="00D37D86" w:rsidRPr="00B90078" w:rsidRDefault="00D37D86" w:rsidP="00561709">
                                  <w:pPr>
                                    <w:spacing w:before="10"/>
                                    <w:rPr>
                                      <w:rFonts w:asciiTheme="minorHAnsi" w:hAnsiTheme="minorHAnsi" w:cstheme="minorHAnsi"/>
                                      <w:b/>
                                      <w:bCs/>
                                      <w:sz w:val="20"/>
                                      <w:szCs w:val="20"/>
                                    </w:rPr>
                                  </w:pPr>
                                  <w:r>
                                    <w:rPr>
                                      <w:rFonts w:asciiTheme="minorHAnsi" w:hAnsiTheme="minorHAnsi" w:cstheme="minorHAnsi"/>
                                      <w:b/>
                                      <w:bCs/>
                                      <w:sz w:val="20"/>
                                      <w:szCs w:val="20"/>
                                    </w:rPr>
                                    <w:t>Lorna Baxter</w:t>
                                  </w:r>
                                </w:p>
                              </w:tc>
                            </w:tr>
                          </w:tbl>
                          <w:p w14:paraId="1920FB00" w14:textId="77777777" w:rsidR="00D37D86" w:rsidRDefault="00D37D86" w:rsidP="00D37D86">
                            <w:pPr>
                              <w:pStyle w:val="Heading1"/>
                              <w:spacing w:before="157"/>
                              <w:ind w:left="786" w:hanging="786"/>
                              <w:jc w:val="both"/>
                              <w:rPr>
                                <w:b w:val="0"/>
                                <w:bCs w:val="0"/>
                                <w:sz w:val="24"/>
                                <w:szCs w:val="24"/>
                                <w:u w:val="none"/>
                              </w:rPr>
                            </w:pPr>
                          </w:p>
                          <w:p w14:paraId="2149EA58" w14:textId="77777777" w:rsidR="00D37D86" w:rsidRDefault="00D37D86" w:rsidP="00D37D86">
                            <w:pPr>
                              <w:pStyle w:val="ListParagraph"/>
                              <w:spacing w:before="10"/>
                              <w:ind w:left="426" w:firstLine="0"/>
                              <w:rPr>
                                <w:sz w:val="24"/>
                                <w:szCs w:val="24"/>
                              </w:rPr>
                            </w:pPr>
                          </w:p>
                          <w:p w14:paraId="2BB0066A" w14:textId="77777777" w:rsidR="00D37D86" w:rsidRDefault="00D37D86" w:rsidP="00D37D86">
                            <w:pPr>
                              <w:pStyle w:val="ListParagraph"/>
                              <w:spacing w:before="10"/>
                              <w:ind w:left="426" w:firstLine="0"/>
                              <w:rPr>
                                <w:sz w:val="24"/>
                                <w:szCs w:val="24"/>
                              </w:rPr>
                            </w:pPr>
                          </w:p>
                          <w:p w14:paraId="1AF2DF2F" w14:textId="77777777" w:rsidR="00D37D86" w:rsidRDefault="00D37D86" w:rsidP="00D37D86">
                            <w:pPr>
                              <w:pStyle w:val="ListParagraph"/>
                              <w:spacing w:before="10"/>
                              <w:ind w:left="426" w:firstLine="0"/>
                              <w:rPr>
                                <w:sz w:val="24"/>
                                <w:szCs w:val="24"/>
                              </w:rPr>
                            </w:pPr>
                          </w:p>
                          <w:p w14:paraId="7268DD45" w14:textId="77777777" w:rsidR="00D37D86" w:rsidRDefault="00D37D86" w:rsidP="00D37D86">
                            <w:pPr>
                              <w:pStyle w:val="ListParagraph"/>
                              <w:spacing w:before="10"/>
                              <w:ind w:left="426" w:firstLine="0"/>
                              <w:rPr>
                                <w:sz w:val="24"/>
                                <w:szCs w:val="24"/>
                              </w:rPr>
                            </w:pPr>
                          </w:p>
                          <w:p w14:paraId="3BFDA00B" w14:textId="77777777" w:rsidR="00D37D86" w:rsidRDefault="00D37D86" w:rsidP="00D37D86"/>
                          <w:p w14:paraId="0BF1A921" w14:textId="77777777" w:rsidR="00D37D86" w:rsidRDefault="00D37D86" w:rsidP="00D37D86"/>
                          <w:p w14:paraId="50F21660" w14:textId="77777777" w:rsidR="00D37D86" w:rsidRDefault="00D37D86" w:rsidP="00D37D86">
                            <w:r>
                              <w:t xml:space="preserve">98% of calls abandoned against a target of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DD907" id="Text Box 14" o:spid="_x0000_s1031" type="#_x0000_t202" alt="&quot;&quot;" style="position:absolute;margin-left:149.5pt;margin-top:12.85pt;width:308.25pt;height:357.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" fillcolor="window" strokeweight=".5pt">
                <v:textbox>
                  <w:txbxContent>
                    <w:p w14:paraId="61519570" w14:textId="77777777" w:rsidR="00D37D86" w:rsidRPr="00431081" w:rsidRDefault="00D37D86" w:rsidP="00D37D86">
                      <w:pPr>
                        <w:jc w:val="both"/>
                        <w:rPr>
                          <w:rFonts w:asciiTheme="minorHAnsi" w:hAnsiTheme="minorHAnsi" w:cstheme="minorHAnsi"/>
                          <w:sz w:val="18"/>
                          <w:szCs w:val="18"/>
                        </w:rPr>
                      </w:pPr>
                      <w:r>
                        <w:rPr>
                          <w:rFonts w:asciiTheme="minorHAnsi" w:hAnsiTheme="minorHAnsi" w:cstheme="minorHAnsi"/>
                          <w:sz w:val="18"/>
                          <w:szCs w:val="18"/>
                        </w:rPr>
                        <w:t>T</w:t>
                      </w:r>
                      <w:r w:rsidRPr="00431081">
                        <w:rPr>
                          <w:rFonts w:asciiTheme="minorHAnsi" w:hAnsiTheme="minorHAnsi" w:cstheme="minorHAnsi"/>
                          <w:sz w:val="18"/>
                          <w:szCs w:val="18"/>
                        </w:rPr>
                        <w:t xml:space="preserve">able illustrates measure within </w:t>
                      </w:r>
                      <w:r w:rsidRPr="00431081">
                        <w:rPr>
                          <w:rFonts w:asciiTheme="minorHAnsi" w:hAnsiTheme="minorHAnsi" w:cstheme="minorHAnsi"/>
                          <w:b/>
                          <w:bCs/>
                          <w:sz w:val="18"/>
                          <w:szCs w:val="18"/>
                        </w:rPr>
                        <w:t>Priority OCC 10</w:t>
                      </w:r>
                      <w:r w:rsidRPr="00431081">
                        <w:rPr>
                          <w:rFonts w:asciiTheme="minorHAnsi" w:hAnsiTheme="minorHAnsi" w:cstheme="minorHAnsi"/>
                          <w:sz w:val="18"/>
                          <w:szCs w:val="18"/>
                        </w:rPr>
                        <w:t xml:space="preserve"> that are performing under target and the RAG status.</w:t>
                      </w:r>
                    </w:p>
                    <w:tbl>
                      <w:tblPr>
                        <w:tblStyle w:val="TableGrid1"/>
                        <w:tblW w:w="5949" w:type="dxa"/>
                        <w:tblLook w:val="04A0" w:firstRow="1" w:lastRow="0" w:firstColumn="1" w:lastColumn="0" w:noHBand="0" w:noVBand="1"/>
                      </w:tblPr>
                      <w:tblGrid>
                        <w:gridCol w:w="3823"/>
                        <w:gridCol w:w="850"/>
                        <w:gridCol w:w="1276"/>
                      </w:tblGrid>
                      <w:tr w:rsidR="00D37D86" w:rsidRPr="00431081" w14:paraId="5FD98261" w14:textId="77777777" w:rsidTr="00045E35">
                        <w:tc>
                          <w:tcPr>
                            <w:tcW w:w="3823" w:type="dxa"/>
                          </w:tcPr>
                          <w:p w14:paraId="11DECAE0" w14:textId="77777777" w:rsidR="00D37D86" w:rsidRPr="00B90078" w:rsidRDefault="00D37D86" w:rsidP="00C3759E">
                            <w:pPr>
                              <w:spacing w:before="10"/>
                              <w:jc w:val="both"/>
                              <w:rPr>
                                <w:rFonts w:asciiTheme="minorHAnsi" w:hAnsiTheme="minorHAnsi" w:cstheme="minorHAnsi"/>
                                <w:b/>
                                <w:bCs/>
                                <w:sz w:val="20"/>
                                <w:szCs w:val="20"/>
                              </w:rPr>
                            </w:pPr>
                            <w:r w:rsidRPr="00B90078">
                              <w:rPr>
                                <w:rFonts w:asciiTheme="minorHAnsi" w:hAnsiTheme="minorHAnsi" w:cstheme="minorHAnsi"/>
                                <w:b/>
                                <w:bCs/>
                                <w:sz w:val="20"/>
                                <w:szCs w:val="20"/>
                              </w:rPr>
                              <w:t>Measure</w:t>
                            </w:r>
                          </w:p>
                        </w:tc>
                        <w:tc>
                          <w:tcPr>
                            <w:tcW w:w="850" w:type="dxa"/>
                            <w:vAlign w:val="center"/>
                          </w:tcPr>
                          <w:p w14:paraId="2B19A282" w14:textId="77777777" w:rsidR="00D37D86" w:rsidRPr="00B90078" w:rsidRDefault="00D37D86" w:rsidP="00C3759E">
                            <w:pPr>
                              <w:spacing w:before="10"/>
                              <w:rPr>
                                <w:rFonts w:asciiTheme="minorHAnsi" w:hAnsiTheme="minorHAnsi" w:cstheme="minorHAnsi"/>
                                <w:b/>
                                <w:bCs/>
                                <w:sz w:val="20"/>
                                <w:szCs w:val="20"/>
                              </w:rPr>
                            </w:pPr>
                            <w:r w:rsidRPr="00B90078">
                              <w:rPr>
                                <w:rFonts w:asciiTheme="minorHAnsi" w:hAnsiTheme="minorHAnsi" w:cstheme="minorHAnsi"/>
                                <w:b/>
                                <w:bCs/>
                                <w:sz w:val="20"/>
                                <w:szCs w:val="20"/>
                              </w:rPr>
                              <w:t>Status</w:t>
                            </w:r>
                          </w:p>
                        </w:tc>
                        <w:tc>
                          <w:tcPr>
                            <w:tcW w:w="1276" w:type="dxa"/>
                          </w:tcPr>
                          <w:p w14:paraId="117C125F" w14:textId="77777777" w:rsidR="00D37D86" w:rsidRPr="00B90078" w:rsidRDefault="00D37D86" w:rsidP="00C3759E">
                            <w:pPr>
                              <w:spacing w:before="10"/>
                              <w:rPr>
                                <w:rFonts w:asciiTheme="minorHAnsi" w:hAnsiTheme="minorHAnsi" w:cstheme="minorHAnsi"/>
                                <w:b/>
                                <w:bCs/>
                                <w:sz w:val="20"/>
                                <w:szCs w:val="20"/>
                              </w:rPr>
                            </w:pPr>
                            <w:r w:rsidRPr="00B90078">
                              <w:rPr>
                                <w:rFonts w:asciiTheme="minorHAnsi" w:hAnsiTheme="minorHAnsi" w:cstheme="minorHAnsi"/>
                                <w:b/>
                                <w:bCs/>
                                <w:sz w:val="20"/>
                                <w:szCs w:val="20"/>
                              </w:rPr>
                              <w:t>Director</w:t>
                            </w:r>
                          </w:p>
                        </w:tc>
                      </w:tr>
                      <w:tr w:rsidR="00D37D86" w:rsidRPr="00431081" w14:paraId="3D73EA94" w14:textId="77777777" w:rsidTr="00045E35">
                        <w:tc>
                          <w:tcPr>
                            <w:tcW w:w="3823" w:type="dxa"/>
                            <w:vAlign w:val="center"/>
                          </w:tcPr>
                          <w:p w14:paraId="366BA219" w14:textId="77777777" w:rsidR="00D37D86" w:rsidRPr="00B90078" w:rsidRDefault="00D37D86" w:rsidP="00C3759E">
                            <w:pPr>
                              <w:spacing w:before="10"/>
                              <w:jc w:val="both"/>
                              <w:rPr>
                                <w:rFonts w:asciiTheme="minorHAnsi" w:hAnsiTheme="minorHAnsi" w:cstheme="minorHAnsi"/>
                                <w:b/>
                                <w:bCs/>
                                <w:sz w:val="20"/>
                                <w:szCs w:val="20"/>
                              </w:rPr>
                            </w:pPr>
                            <w:r w:rsidRPr="00B90078">
                              <w:rPr>
                                <w:rFonts w:asciiTheme="minorHAnsi" w:hAnsiTheme="minorHAnsi" w:cstheme="minorHAnsi"/>
                                <w:b/>
                                <w:bCs/>
                                <w:sz w:val="20"/>
                                <w:szCs w:val="20"/>
                              </w:rPr>
                              <w:t>OCC10.0</w:t>
                            </w:r>
                            <w:r>
                              <w:rPr>
                                <w:rFonts w:asciiTheme="minorHAnsi" w:hAnsiTheme="minorHAnsi" w:cstheme="minorHAnsi"/>
                                <w:b/>
                                <w:bCs/>
                                <w:sz w:val="20"/>
                                <w:szCs w:val="20"/>
                              </w:rPr>
                              <w:t xml:space="preserve">3: </w:t>
                            </w:r>
                            <w:r>
                              <w:rPr>
                                <w:rFonts w:asciiTheme="minorHAnsi" w:hAnsiTheme="minorHAnsi" w:cstheme="minorHAnsi"/>
                                <w:sz w:val="20"/>
                                <w:szCs w:val="20"/>
                              </w:rPr>
                              <w:t>Achieve a high level of customer satisfaction across the telephony channel in the CSC</w:t>
                            </w:r>
                          </w:p>
                        </w:tc>
                        <w:tc>
                          <w:tcPr>
                            <w:tcW w:w="850" w:type="dxa"/>
                            <w:vAlign w:val="center"/>
                          </w:tcPr>
                          <w:p w14:paraId="5A367145" w14:textId="77777777" w:rsidR="00D37D86" w:rsidRPr="00B90078" w:rsidRDefault="00D37D86" w:rsidP="00AA75E1">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1276" w:type="dxa"/>
                            <w:vAlign w:val="center"/>
                          </w:tcPr>
                          <w:p w14:paraId="75A45C40" w14:textId="77777777" w:rsidR="00D37D86" w:rsidRPr="00B90078" w:rsidRDefault="00D37D86" w:rsidP="00C3759E">
                            <w:pPr>
                              <w:spacing w:before="10"/>
                              <w:rPr>
                                <w:rFonts w:asciiTheme="minorHAnsi" w:hAnsiTheme="minorHAnsi" w:cstheme="minorHAnsi"/>
                                <w:b/>
                                <w:bCs/>
                                <w:sz w:val="20"/>
                                <w:szCs w:val="20"/>
                              </w:rPr>
                            </w:pPr>
                            <w:r w:rsidRPr="00B90078">
                              <w:rPr>
                                <w:rFonts w:asciiTheme="minorHAnsi" w:hAnsiTheme="minorHAnsi" w:cstheme="minorHAnsi"/>
                                <w:b/>
                                <w:bCs/>
                                <w:sz w:val="20"/>
                                <w:szCs w:val="20"/>
                              </w:rPr>
                              <w:t>Mark Haynes</w:t>
                            </w:r>
                          </w:p>
                        </w:tc>
                      </w:tr>
                      <w:tr w:rsidR="00D37D86" w:rsidRPr="00431081" w14:paraId="6CA3CE18" w14:textId="77777777" w:rsidTr="00045E35">
                        <w:trPr>
                          <w:trHeight w:val="214"/>
                        </w:trPr>
                        <w:tc>
                          <w:tcPr>
                            <w:tcW w:w="3823" w:type="dxa"/>
                            <w:vAlign w:val="center"/>
                          </w:tcPr>
                          <w:p w14:paraId="22FAF5D3" w14:textId="77777777" w:rsidR="00D37D86" w:rsidRPr="00B90078" w:rsidRDefault="00D37D86" w:rsidP="00C3759E">
                            <w:pPr>
                              <w:spacing w:before="10"/>
                              <w:ind w:hanging="30"/>
                              <w:jc w:val="both"/>
                              <w:rPr>
                                <w:rFonts w:asciiTheme="minorHAnsi" w:hAnsiTheme="minorHAnsi" w:cstheme="minorHAnsi"/>
                                <w:sz w:val="20"/>
                                <w:szCs w:val="20"/>
                              </w:rPr>
                            </w:pPr>
                            <w:r w:rsidRPr="00B90078">
                              <w:rPr>
                                <w:rFonts w:asciiTheme="minorHAnsi" w:hAnsiTheme="minorHAnsi" w:cstheme="minorHAnsi"/>
                                <w:b/>
                                <w:bCs/>
                                <w:sz w:val="20"/>
                                <w:szCs w:val="20"/>
                              </w:rPr>
                              <w:t>OCC10.04</w:t>
                            </w:r>
                            <w:r>
                              <w:rPr>
                                <w:rFonts w:asciiTheme="minorHAnsi" w:hAnsiTheme="minorHAnsi" w:cstheme="minorHAnsi"/>
                                <w:b/>
                                <w:bCs/>
                                <w:sz w:val="20"/>
                                <w:szCs w:val="20"/>
                              </w:rPr>
                              <w:t>:</w:t>
                            </w:r>
                            <w:r w:rsidRPr="00B90078">
                              <w:rPr>
                                <w:rFonts w:asciiTheme="minorHAnsi" w:hAnsiTheme="minorHAnsi" w:cstheme="minorHAnsi"/>
                                <w:sz w:val="20"/>
                                <w:szCs w:val="20"/>
                              </w:rPr>
                              <w:t xml:space="preserve"> Resolve customer enquiries received through the telephony channels at the first point of contact</w:t>
                            </w:r>
                          </w:p>
                        </w:tc>
                        <w:tc>
                          <w:tcPr>
                            <w:tcW w:w="850" w:type="dxa"/>
                            <w:vAlign w:val="center"/>
                          </w:tcPr>
                          <w:p w14:paraId="10B57320" w14:textId="77777777" w:rsidR="00D37D86" w:rsidRPr="00B90078" w:rsidRDefault="00D37D86" w:rsidP="00AA75E1">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1276" w:type="dxa"/>
                            <w:vAlign w:val="center"/>
                          </w:tcPr>
                          <w:p w14:paraId="1C0E5371" w14:textId="77777777" w:rsidR="00D37D86" w:rsidRPr="00B90078" w:rsidRDefault="00D37D86" w:rsidP="00C3759E">
                            <w:pPr>
                              <w:spacing w:before="10"/>
                              <w:rPr>
                                <w:rFonts w:asciiTheme="minorHAnsi" w:hAnsiTheme="minorHAnsi" w:cstheme="minorHAnsi"/>
                                <w:b/>
                                <w:bCs/>
                                <w:color w:val="FF0000"/>
                                <w:sz w:val="20"/>
                                <w:szCs w:val="20"/>
                              </w:rPr>
                            </w:pPr>
                            <w:r w:rsidRPr="00B90078">
                              <w:rPr>
                                <w:rFonts w:asciiTheme="minorHAnsi" w:hAnsiTheme="minorHAnsi" w:cstheme="minorHAnsi"/>
                                <w:b/>
                                <w:bCs/>
                                <w:sz w:val="20"/>
                                <w:szCs w:val="20"/>
                              </w:rPr>
                              <w:t>Mark Haynes</w:t>
                            </w:r>
                          </w:p>
                        </w:tc>
                      </w:tr>
                      <w:tr w:rsidR="00D37D86" w:rsidRPr="00431081" w14:paraId="571AE250" w14:textId="77777777" w:rsidTr="00045E35">
                        <w:trPr>
                          <w:trHeight w:val="214"/>
                        </w:trPr>
                        <w:tc>
                          <w:tcPr>
                            <w:tcW w:w="3823" w:type="dxa"/>
                            <w:vAlign w:val="center"/>
                          </w:tcPr>
                          <w:p w14:paraId="632669D3" w14:textId="77777777" w:rsidR="00D37D86" w:rsidRPr="00B90078" w:rsidRDefault="00D37D86" w:rsidP="00C3759E">
                            <w:pPr>
                              <w:spacing w:before="10"/>
                              <w:ind w:hanging="30"/>
                              <w:jc w:val="both"/>
                              <w:rPr>
                                <w:rFonts w:asciiTheme="minorHAnsi" w:hAnsiTheme="minorHAnsi" w:cstheme="minorHAnsi"/>
                                <w:b/>
                                <w:bCs/>
                                <w:sz w:val="20"/>
                                <w:szCs w:val="20"/>
                              </w:rPr>
                            </w:pPr>
                            <w:r w:rsidRPr="00B90078">
                              <w:rPr>
                                <w:rFonts w:asciiTheme="minorHAnsi" w:hAnsiTheme="minorHAnsi" w:cstheme="minorHAnsi"/>
                                <w:b/>
                                <w:bCs/>
                                <w:sz w:val="20"/>
                                <w:szCs w:val="20"/>
                              </w:rPr>
                              <w:t>OCC10.0</w:t>
                            </w:r>
                            <w:r>
                              <w:rPr>
                                <w:rFonts w:asciiTheme="minorHAnsi" w:hAnsiTheme="minorHAnsi" w:cstheme="minorHAnsi"/>
                                <w:b/>
                                <w:bCs/>
                                <w:sz w:val="20"/>
                                <w:szCs w:val="20"/>
                              </w:rPr>
                              <w:t>5:</w:t>
                            </w:r>
                            <w:r w:rsidRPr="00B90078">
                              <w:rPr>
                                <w:rFonts w:asciiTheme="minorHAnsi" w:hAnsiTheme="minorHAnsi" w:cstheme="minorHAnsi"/>
                                <w:sz w:val="20"/>
                                <w:szCs w:val="20"/>
                              </w:rPr>
                              <w:t xml:space="preserve"> </w:t>
                            </w:r>
                            <w:r>
                              <w:rPr>
                                <w:rFonts w:asciiTheme="minorHAnsi" w:hAnsiTheme="minorHAnsi" w:cstheme="minorHAnsi"/>
                                <w:sz w:val="20"/>
                                <w:szCs w:val="20"/>
                              </w:rPr>
                              <w:t>Number of telephone calls to CSC abandoned</w:t>
                            </w:r>
                          </w:p>
                        </w:tc>
                        <w:tc>
                          <w:tcPr>
                            <w:tcW w:w="850" w:type="dxa"/>
                            <w:vAlign w:val="center"/>
                          </w:tcPr>
                          <w:p w14:paraId="53B6AE46" w14:textId="77777777" w:rsidR="00D37D86" w:rsidRPr="00AA75E1" w:rsidRDefault="00D37D86" w:rsidP="00AA75E1">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1276" w:type="dxa"/>
                            <w:vAlign w:val="center"/>
                          </w:tcPr>
                          <w:p w14:paraId="22489F7A" w14:textId="77777777" w:rsidR="00D37D86" w:rsidRPr="00B90078" w:rsidRDefault="00D37D86" w:rsidP="00C3759E">
                            <w:pPr>
                              <w:spacing w:before="10"/>
                              <w:rPr>
                                <w:rFonts w:asciiTheme="minorHAnsi" w:hAnsiTheme="minorHAnsi" w:cstheme="minorHAnsi"/>
                                <w:b/>
                                <w:bCs/>
                                <w:sz w:val="20"/>
                                <w:szCs w:val="20"/>
                              </w:rPr>
                            </w:pPr>
                            <w:r w:rsidRPr="00B90078">
                              <w:rPr>
                                <w:rFonts w:asciiTheme="minorHAnsi" w:hAnsiTheme="minorHAnsi" w:cstheme="minorHAnsi"/>
                                <w:b/>
                                <w:bCs/>
                                <w:sz w:val="20"/>
                                <w:szCs w:val="20"/>
                              </w:rPr>
                              <w:t>Mark Haynes</w:t>
                            </w:r>
                          </w:p>
                        </w:tc>
                      </w:tr>
                      <w:tr w:rsidR="00D37D86" w:rsidRPr="00431081" w14:paraId="253CEC4D" w14:textId="77777777" w:rsidTr="00045E35">
                        <w:trPr>
                          <w:trHeight w:val="214"/>
                        </w:trPr>
                        <w:tc>
                          <w:tcPr>
                            <w:tcW w:w="3823" w:type="dxa"/>
                            <w:vAlign w:val="center"/>
                          </w:tcPr>
                          <w:p w14:paraId="3D68EC7B" w14:textId="77777777" w:rsidR="00D37D86" w:rsidRPr="00B90078" w:rsidRDefault="00D37D86" w:rsidP="00103183">
                            <w:pPr>
                              <w:spacing w:before="10"/>
                              <w:ind w:hanging="30"/>
                              <w:jc w:val="both"/>
                              <w:rPr>
                                <w:rFonts w:asciiTheme="minorHAnsi" w:hAnsiTheme="minorHAnsi" w:cstheme="minorHAnsi"/>
                                <w:b/>
                                <w:bCs/>
                                <w:sz w:val="20"/>
                                <w:szCs w:val="20"/>
                              </w:rPr>
                            </w:pPr>
                            <w:bookmarkStart w:id="6" w:name="_Hlk111708347"/>
                            <w:r w:rsidRPr="00FA1D92">
                              <w:rPr>
                                <w:rFonts w:asciiTheme="minorHAnsi" w:hAnsiTheme="minorHAnsi" w:cstheme="minorHAnsi"/>
                                <w:b/>
                                <w:bCs/>
                                <w:sz w:val="20"/>
                                <w:szCs w:val="20"/>
                              </w:rPr>
                              <w:t>OCC11.01</w:t>
                            </w:r>
                            <w:r>
                              <w:rPr>
                                <w:rFonts w:asciiTheme="minorHAnsi" w:hAnsiTheme="minorHAnsi" w:cstheme="minorHAnsi"/>
                                <w:b/>
                                <w:bCs/>
                                <w:sz w:val="20"/>
                                <w:szCs w:val="20"/>
                              </w:rPr>
                              <w:t>:</w:t>
                            </w:r>
                            <w:r w:rsidRPr="00FA1D92">
                              <w:rPr>
                                <w:rFonts w:asciiTheme="minorHAnsi" w:hAnsiTheme="minorHAnsi" w:cstheme="minorHAnsi"/>
                                <w:b/>
                                <w:bCs/>
                                <w:sz w:val="20"/>
                                <w:szCs w:val="20"/>
                              </w:rPr>
                              <w:t xml:space="preserve"> </w:t>
                            </w:r>
                            <w:bookmarkEnd w:id="6"/>
                            <w:r w:rsidRPr="00FA1D92">
                              <w:rPr>
                                <w:rFonts w:asciiTheme="minorHAnsi" w:hAnsiTheme="minorHAnsi" w:cstheme="minorHAnsi"/>
                                <w:sz w:val="20"/>
                                <w:szCs w:val="20"/>
                              </w:rPr>
                              <w:t>Overall forecast revenue variance across the Council</w:t>
                            </w:r>
                          </w:p>
                        </w:tc>
                        <w:tc>
                          <w:tcPr>
                            <w:tcW w:w="850" w:type="dxa"/>
                            <w:vAlign w:val="center"/>
                          </w:tcPr>
                          <w:p w14:paraId="7D450737" w14:textId="77777777" w:rsidR="00D37D86" w:rsidRPr="00AA75E1" w:rsidRDefault="00D37D86" w:rsidP="00103183">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1276" w:type="dxa"/>
                            <w:vAlign w:val="center"/>
                          </w:tcPr>
                          <w:p w14:paraId="5C32D5B2" w14:textId="77777777" w:rsidR="00D37D86" w:rsidRPr="00B90078" w:rsidRDefault="00D37D86" w:rsidP="00103183">
                            <w:pPr>
                              <w:spacing w:before="10"/>
                              <w:rPr>
                                <w:rFonts w:asciiTheme="minorHAnsi" w:hAnsiTheme="minorHAnsi" w:cstheme="minorHAnsi"/>
                                <w:b/>
                                <w:bCs/>
                                <w:sz w:val="20"/>
                                <w:szCs w:val="20"/>
                              </w:rPr>
                            </w:pPr>
                            <w:r>
                              <w:rPr>
                                <w:rFonts w:asciiTheme="minorHAnsi" w:hAnsiTheme="minorHAnsi" w:cstheme="minorHAnsi"/>
                                <w:b/>
                                <w:bCs/>
                                <w:sz w:val="20"/>
                                <w:szCs w:val="20"/>
                              </w:rPr>
                              <w:t>Lorna Baxter</w:t>
                            </w:r>
                          </w:p>
                        </w:tc>
                      </w:tr>
                      <w:tr w:rsidR="00D37D86" w:rsidRPr="00431081" w14:paraId="79080DA0" w14:textId="77777777" w:rsidTr="00045E35">
                        <w:trPr>
                          <w:trHeight w:val="214"/>
                        </w:trPr>
                        <w:tc>
                          <w:tcPr>
                            <w:tcW w:w="3823" w:type="dxa"/>
                            <w:vAlign w:val="center"/>
                          </w:tcPr>
                          <w:p w14:paraId="2D420942" w14:textId="77777777" w:rsidR="00D37D86" w:rsidRPr="00B90078" w:rsidRDefault="00D37D86" w:rsidP="00103183">
                            <w:pPr>
                              <w:spacing w:before="10"/>
                              <w:ind w:hanging="30"/>
                              <w:jc w:val="both"/>
                              <w:rPr>
                                <w:rFonts w:asciiTheme="minorHAnsi" w:hAnsiTheme="minorHAnsi" w:cstheme="minorHAnsi"/>
                                <w:b/>
                                <w:bCs/>
                                <w:sz w:val="20"/>
                                <w:szCs w:val="20"/>
                              </w:rPr>
                            </w:pPr>
                            <w:r w:rsidRPr="00FA1D92">
                              <w:rPr>
                                <w:rFonts w:asciiTheme="minorHAnsi" w:hAnsiTheme="minorHAnsi" w:cstheme="minorHAnsi"/>
                                <w:b/>
                                <w:bCs/>
                                <w:sz w:val="20"/>
                                <w:szCs w:val="20"/>
                              </w:rPr>
                              <w:t>OCC11.02</w:t>
                            </w:r>
                            <w:r>
                              <w:rPr>
                                <w:rFonts w:asciiTheme="minorHAnsi" w:hAnsiTheme="minorHAnsi" w:cstheme="minorHAnsi"/>
                                <w:b/>
                                <w:bCs/>
                                <w:sz w:val="20"/>
                                <w:szCs w:val="20"/>
                              </w:rPr>
                              <w:t>:</w:t>
                            </w:r>
                            <w:r w:rsidRPr="00FA1D92">
                              <w:rPr>
                                <w:rFonts w:asciiTheme="minorHAnsi" w:hAnsiTheme="minorHAnsi" w:cstheme="minorHAnsi"/>
                                <w:b/>
                                <w:bCs/>
                                <w:sz w:val="20"/>
                                <w:szCs w:val="20"/>
                              </w:rPr>
                              <w:t xml:space="preserve"> </w:t>
                            </w:r>
                            <w:r w:rsidRPr="00FA1D92">
                              <w:rPr>
                                <w:rFonts w:asciiTheme="minorHAnsi" w:hAnsiTheme="minorHAnsi" w:cstheme="minorHAnsi"/>
                                <w:sz w:val="20"/>
                                <w:szCs w:val="20"/>
                              </w:rPr>
                              <w:t>Achievement of planned savings</w:t>
                            </w:r>
                          </w:p>
                        </w:tc>
                        <w:tc>
                          <w:tcPr>
                            <w:tcW w:w="850" w:type="dxa"/>
                            <w:vAlign w:val="center"/>
                          </w:tcPr>
                          <w:p w14:paraId="596A0729" w14:textId="77777777" w:rsidR="00D37D86" w:rsidRPr="00AA75E1" w:rsidRDefault="00D37D86" w:rsidP="00103183">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Red</w:t>
                            </w:r>
                          </w:p>
                        </w:tc>
                        <w:tc>
                          <w:tcPr>
                            <w:tcW w:w="1276" w:type="dxa"/>
                            <w:vAlign w:val="center"/>
                          </w:tcPr>
                          <w:p w14:paraId="53A19619" w14:textId="77777777" w:rsidR="00D37D86" w:rsidRPr="00B90078" w:rsidRDefault="00D37D86" w:rsidP="00103183">
                            <w:pPr>
                              <w:spacing w:before="10"/>
                              <w:rPr>
                                <w:rFonts w:asciiTheme="minorHAnsi" w:hAnsiTheme="minorHAnsi" w:cstheme="minorHAnsi"/>
                                <w:b/>
                                <w:bCs/>
                                <w:sz w:val="20"/>
                                <w:szCs w:val="20"/>
                              </w:rPr>
                            </w:pPr>
                            <w:r>
                              <w:rPr>
                                <w:rFonts w:asciiTheme="minorHAnsi" w:hAnsiTheme="minorHAnsi" w:cstheme="minorHAnsi"/>
                                <w:b/>
                                <w:bCs/>
                                <w:sz w:val="20"/>
                                <w:szCs w:val="20"/>
                              </w:rPr>
                              <w:t>Lorna Baxter</w:t>
                            </w:r>
                          </w:p>
                        </w:tc>
                      </w:tr>
                      <w:tr w:rsidR="00D37D86" w:rsidRPr="00431081" w14:paraId="4B4C7B65" w14:textId="77777777" w:rsidTr="00045E35">
                        <w:trPr>
                          <w:trHeight w:val="214"/>
                        </w:trPr>
                        <w:tc>
                          <w:tcPr>
                            <w:tcW w:w="3823" w:type="dxa"/>
                            <w:vAlign w:val="center"/>
                          </w:tcPr>
                          <w:p w14:paraId="44FFBD71" w14:textId="77777777" w:rsidR="00D37D86" w:rsidRPr="00B90078" w:rsidRDefault="00D37D86" w:rsidP="00103183">
                            <w:pPr>
                              <w:spacing w:before="10"/>
                              <w:ind w:hanging="30"/>
                              <w:jc w:val="both"/>
                              <w:rPr>
                                <w:rFonts w:asciiTheme="minorHAnsi" w:hAnsiTheme="minorHAnsi" w:cstheme="minorHAnsi"/>
                                <w:b/>
                                <w:bCs/>
                                <w:sz w:val="20"/>
                                <w:szCs w:val="20"/>
                              </w:rPr>
                            </w:pPr>
                            <w:r w:rsidRPr="00FA1D92">
                              <w:rPr>
                                <w:rFonts w:asciiTheme="minorHAnsi" w:hAnsiTheme="minorHAnsi" w:cstheme="minorHAnsi"/>
                                <w:b/>
                                <w:bCs/>
                                <w:sz w:val="20"/>
                                <w:szCs w:val="20"/>
                              </w:rPr>
                              <w:t>OCC11.05</w:t>
                            </w:r>
                            <w:r>
                              <w:rPr>
                                <w:rFonts w:asciiTheme="minorHAnsi" w:hAnsiTheme="minorHAnsi" w:cstheme="minorHAnsi"/>
                                <w:b/>
                                <w:bCs/>
                                <w:sz w:val="20"/>
                                <w:szCs w:val="20"/>
                              </w:rPr>
                              <w:t>:</w:t>
                            </w:r>
                            <w:r w:rsidRPr="00FA1D92">
                              <w:rPr>
                                <w:rFonts w:asciiTheme="minorHAnsi" w:hAnsiTheme="minorHAnsi" w:cstheme="minorHAnsi"/>
                                <w:b/>
                                <w:bCs/>
                                <w:sz w:val="20"/>
                                <w:szCs w:val="20"/>
                              </w:rPr>
                              <w:t xml:space="preserve"> </w:t>
                            </w:r>
                            <w:r w:rsidRPr="00FA1D92">
                              <w:rPr>
                                <w:rFonts w:asciiTheme="minorHAnsi" w:hAnsiTheme="minorHAnsi" w:cstheme="minorHAnsi"/>
                                <w:sz w:val="20"/>
                                <w:szCs w:val="20"/>
                              </w:rPr>
                              <w:t>Directorates deliver services and achieve planned performance within agreed budget</w:t>
                            </w:r>
                          </w:p>
                        </w:tc>
                        <w:tc>
                          <w:tcPr>
                            <w:tcW w:w="850" w:type="dxa"/>
                            <w:vAlign w:val="center"/>
                          </w:tcPr>
                          <w:p w14:paraId="22137DE1" w14:textId="77777777" w:rsidR="00D37D86" w:rsidRPr="00AA75E1" w:rsidRDefault="00D37D86" w:rsidP="00103183">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Red</w:t>
                            </w:r>
                          </w:p>
                        </w:tc>
                        <w:tc>
                          <w:tcPr>
                            <w:tcW w:w="1276" w:type="dxa"/>
                            <w:vAlign w:val="center"/>
                          </w:tcPr>
                          <w:p w14:paraId="60D0F4CE" w14:textId="77777777" w:rsidR="00D37D86" w:rsidRPr="00B90078" w:rsidRDefault="00D37D86" w:rsidP="00103183">
                            <w:pPr>
                              <w:spacing w:before="10"/>
                              <w:rPr>
                                <w:rFonts w:asciiTheme="minorHAnsi" w:hAnsiTheme="minorHAnsi" w:cstheme="minorHAnsi"/>
                                <w:b/>
                                <w:bCs/>
                                <w:sz w:val="20"/>
                                <w:szCs w:val="20"/>
                              </w:rPr>
                            </w:pPr>
                            <w:r>
                              <w:rPr>
                                <w:rFonts w:asciiTheme="minorHAnsi" w:hAnsiTheme="minorHAnsi" w:cstheme="minorHAnsi"/>
                                <w:b/>
                                <w:bCs/>
                                <w:sz w:val="20"/>
                                <w:szCs w:val="20"/>
                              </w:rPr>
                              <w:t>Lorna Baxter</w:t>
                            </w:r>
                          </w:p>
                        </w:tc>
                      </w:tr>
                      <w:tr w:rsidR="00D37D86" w:rsidRPr="00431081" w14:paraId="14AE8061" w14:textId="77777777" w:rsidTr="00045E35">
                        <w:trPr>
                          <w:trHeight w:val="214"/>
                        </w:trPr>
                        <w:tc>
                          <w:tcPr>
                            <w:tcW w:w="3823" w:type="dxa"/>
                            <w:vAlign w:val="center"/>
                          </w:tcPr>
                          <w:p w14:paraId="5026B57F" w14:textId="77777777" w:rsidR="00D37D86" w:rsidRPr="00FA1D92" w:rsidRDefault="00D37D86" w:rsidP="00103183">
                            <w:pPr>
                              <w:spacing w:before="10"/>
                              <w:ind w:hanging="30"/>
                              <w:jc w:val="both"/>
                              <w:rPr>
                                <w:rFonts w:asciiTheme="minorHAnsi" w:hAnsiTheme="minorHAnsi" w:cstheme="minorHAnsi"/>
                                <w:b/>
                                <w:bCs/>
                                <w:sz w:val="20"/>
                                <w:szCs w:val="20"/>
                              </w:rPr>
                            </w:pPr>
                            <w:r>
                              <w:rPr>
                                <w:rFonts w:asciiTheme="minorHAnsi" w:hAnsiTheme="minorHAnsi" w:cstheme="minorHAnsi"/>
                                <w:b/>
                                <w:bCs/>
                                <w:sz w:val="20"/>
                                <w:szCs w:val="20"/>
                              </w:rPr>
                              <w:t xml:space="preserve">OCC11.06: </w:t>
                            </w:r>
                            <w:r w:rsidRPr="00285619">
                              <w:rPr>
                                <w:sz w:val="20"/>
                                <w:szCs w:val="20"/>
                              </w:rPr>
                              <w:t>Total outturn variation for the dedicated schools grant funded services</w:t>
                            </w:r>
                          </w:p>
                        </w:tc>
                        <w:tc>
                          <w:tcPr>
                            <w:tcW w:w="850" w:type="dxa"/>
                            <w:vAlign w:val="center"/>
                          </w:tcPr>
                          <w:p w14:paraId="780DA0E0" w14:textId="77777777" w:rsidR="00D37D86" w:rsidRPr="00AA75E1" w:rsidRDefault="00D37D86" w:rsidP="00103183">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Red</w:t>
                            </w:r>
                          </w:p>
                        </w:tc>
                        <w:tc>
                          <w:tcPr>
                            <w:tcW w:w="1276" w:type="dxa"/>
                            <w:vAlign w:val="center"/>
                          </w:tcPr>
                          <w:p w14:paraId="3DE1A61D" w14:textId="77777777" w:rsidR="00D37D86" w:rsidRDefault="00D37D86" w:rsidP="00103183">
                            <w:pPr>
                              <w:spacing w:before="10"/>
                              <w:rPr>
                                <w:rFonts w:asciiTheme="minorHAnsi" w:hAnsiTheme="minorHAnsi" w:cstheme="minorHAnsi"/>
                                <w:b/>
                                <w:bCs/>
                                <w:sz w:val="20"/>
                                <w:szCs w:val="20"/>
                              </w:rPr>
                            </w:pPr>
                            <w:r>
                              <w:rPr>
                                <w:rFonts w:asciiTheme="minorHAnsi" w:hAnsiTheme="minorHAnsi" w:cstheme="minorHAnsi"/>
                                <w:b/>
                                <w:bCs/>
                                <w:sz w:val="20"/>
                                <w:szCs w:val="20"/>
                              </w:rPr>
                              <w:t>Lorna Baxter</w:t>
                            </w:r>
                          </w:p>
                        </w:tc>
                      </w:tr>
                      <w:tr w:rsidR="00D37D86" w:rsidRPr="00431081" w14:paraId="7471BD12" w14:textId="77777777" w:rsidTr="00045E35">
                        <w:trPr>
                          <w:trHeight w:val="214"/>
                        </w:trPr>
                        <w:tc>
                          <w:tcPr>
                            <w:tcW w:w="3823" w:type="dxa"/>
                            <w:vAlign w:val="center"/>
                          </w:tcPr>
                          <w:p w14:paraId="057FB48D" w14:textId="77777777" w:rsidR="00D37D86" w:rsidRPr="00B90078" w:rsidRDefault="00D37D86" w:rsidP="00103183">
                            <w:pPr>
                              <w:spacing w:before="10"/>
                              <w:ind w:hanging="30"/>
                              <w:jc w:val="both"/>
                              <w:rPr>
                                <w:rFonts w:asciiTheme="minorHAnsi" w:hAnsiTheme="minorHAnsi" w:cstheme="minorHAnsi"/>
                                <w:b/>
                                <w:bCs/>
                                <w:sz w:val="20"/>
                                <w:szCs w:val="20"/>
                              </w:rPr>
                            </w:pPr>
                            <w:r w:rsidRPr="00B90078">
                              <w:rPr>
                                <w:rFonts w:asciiTheme="minorHAnsi" w:hAnsiTheme="minorHAnsi" w:cstheme="minorHAnsi"/>
                                <w:b/>
                                <w:bCs/>
                                <w:sz w:val="20"/>
                                <w:szCs w:val="20"/>
                              </w:rPr>
                              <w:t>OCC1</w:t>
                            </w:r>
                            <w:r>
                              <w:rPr>
                                <w:rFonts w:asciiTheme="minorHAnsi" w:hAnsiTheme="minorHAnsi" w:cstheme="minorHAnsi"/>
                                <w:b/>
                                <w:bCs/>
                                <w:sz w:val="20"/>
                                <w:szCs w:val="20"/>
                              </w:rPr>
                              <w:t>1</w:t>
                            </w:r>
                            <w:r w:rsidRPr="00B90078">
                              <w:rPr>
                                <w:rFonts w:asciiTheme="minorHAnsi" w:hAnsiTheme="minorHAnsi" w:cstheme="minorHAnsi"/>
                                <w:b/>
                                <w:bCs/>
                                <w:sz w:val="20"/>
                                <w:szCs w:val="20"/>
                              </w:rPr>
                              <w:t>.0</w:t>
                            </w:r>
                            <w:r>
                              <w:rPr>
                                <w:rFonts w:asciiTheme="minorHAnsi" w:hAnsiTheme="minorHAnsi" w:cstheme="minorHAnsi"/>
                                <w:b/>
                                <w:bCs/>
                                <w:sz w:val="20"/>
                                <w:szCs w:val="20"/>
                              </w:rPr>
                              <w:t xml:space="preserve">8: </w:t>
                            </w:r>
                            <w:r>
                              <w:rPr>
                                <w:rFonts w:asciiTheme="minorHAnsi" w:hAnsiTheme="minorHAnsi" w:cstheme="minorHAnsi"/>
                                <w:sz w:val="20"/>
                                <w:szCs w:val="20"/>
                              </w:rPr>
                              <w:t xml:space="preserve">Percentage of agreed invoices paid within 30 days </w:t>
                            </w:r>
                          </w:p>
                        </w:tc>
                        <w:tc>
                          <w:tcPr>
                            <w:tcW w:w="850" w:type="dxa"/>
                            <w:vAlign w:val="center"/>
                          </w:tcPr>
                          <w:p w14:paraId="0F3E3841" w14:textId="77777777" w:rsidR="00D37D86" w:rsidRPr="00AA75E1" w:rsidRDefault="00D37D86" w:rsidP="00103183">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1276" w:type="dxa"/>
                            <w:vAlign w:val="center"/>
                          </w:tcPr>
                          <w:p w14:paraId="6100BD79" w14:textId="77777777" w:rsidR="00D37D86" w:rsidRPr="00B90078" w:rsidRDefault="00D37D86" w:rsidP="00103183">
                            <w:pPr>
                              <w:spacing w:before="10"/>
                              <w:rPr>
                                <w:rFonts w:asciiTheme="minorHAnsi" w:hAnsiTheme="minorHAnsi" w:cstheme="minorHAnsi"/>
                                <w:b/>
                                <w:bCs/>
                                <w:sz w:val="20"/>
                                <w:szCs w:val="20"/>
                              </w:rPr>
                            </w:pPr>
                            <w:r>
                              <w:rPr>
                                <w:rFonts w:asciiTheme="minorHAnsi" w:hAnsiTheme="minorHAnsi" w:cstheme="minorHAnsi"/>
                                <w:b/>
                                <w:bCs/>
                                <w:sz w:val="20"/>
                                <w:szCs w:val="20"/>
                              </w:rPr>
                              <w:t>Lorna Baxter</w:t>
                            </w:r>
                          </w:p>
                        </w:tc>
                      </w:tr>
                      <w:tr w:rsidR="00D37D86" w:rsidRPr="00431081" w14:paraId="4A075495" w14:textId="77777777" w:rsidTr="00045E35">
                        <w:trPr>
                          <w:trHeight w:val="214"/>
                        </w:trPr>
                        <w:tc>
                          <w:tcPr>
                            <w:tcW w:w="3823" w:type="dxa"/>
                            <w:vAlign w:val="center"/>
                          </w:tcPr>
                          <w:p w14:paraId="4A6F4DE1" w14:textId="77777777" w:rsidR="00D37D86" w:rsidRPr="00B90078" w:rsidRDefault="00D37D86" w:rsidP="00103183">
                            <w:pPr>
                              <w:spacing w:before="10"/>
                              <w:ind w:hanging="30"/>
                              <w:jc w:val="both"/>
                              <w:rPr>
                                <w:rFonts w:asciiTheme="minorHAnsi" w:hAnsiTheme="minorHAnsi" w:cstheme="minorHAnsi"/>
                                <w:b/>
                                <w:bCs/>
                                <w:sz w:val="20"/>
                                <w:szCs w:val="20"/>
                              </w:rPr>
                            </w:pPr>
                            <w:r w:rsidRPr="00B90078">
                              <w:rPr>
                                <w:rFonts w:asciiTheme="minorHAnsi" w:hAnsiTheme="minorHAnsi" w:cstheme="minorHAnsi"/>
                                <w:b/>
                                <w:bCs/>
                                <w:sz w:val="20"/>
                                <w:szCs w:val="20"/>
                              </w:rPr>
                              <w:t>OCC1</w:t>
                            </w:r>
                            <w:r>
                              <w:rPr>
                                <w:rFonts w:asciiTheme="minorHAnsi" w:hAnsiTheme="minorHAnsi" w:cstheme="minorHAnsi"/>
                                <w:b/>
                                <w:bCs/>
                                <w:sz w:val="20"/>
                                <w:szCs w:val="20"/>
                              </w:rPr>
                              <w:t>1</w:t>
                            </w:r>
                            <w:r w:rsidRPr="00B90078">
                              <w:rPr>
                                <w:rFonts w:asciiTheme="minorHAnsi" w:hAnsiTheme="minorHAnsi" w:cstheme="minorHAnsi"/>
                                <w:b/>
                                <w:bCs/>
                                <w:sz w:val="20"/>
                                <w:szCs w:val="20"/>
                              </w:rPr>
                              <w:t>.</w:t>
                            </w:r>
                            <w:r>
                              <w:rPr>
                                <w:rFonts w:asciiTheme="minorHAnsi" w:hAnsiTheme="minorHAnsi" w:cstheme="minorHAnsi"/>
                                <w:b/>
                                <w:bCs/>
                                <w:sz w:val="20"/>
                                <w:szCs w:val="20"/>
                              </w:rPr>
                              <w:t xml:space="preserve">11: </w:t>
                            </w:r>
                            <w:r>
                              <w:rPr>
                                <w:rFonts w:asciiTheme="minorHAnsi" w:hAnsiTheme="minorHAnsi" w:cstheme="minorHAnsi"/>
                                <w:sz w:val="20"/>
                                <w:szCs w:val="20"/>
                              </w:rPr>
                              <w:t>Debt requiring impairment – ASC Contribution Debtors</w:t>
                            </w:r>
                          </w:p>
                        </w:tc>
                        <w:tc>
                          <w:tcPr>
                            <w:tcW w:w="850" w:type="dxa"/>
                            <w:vAlign w:val="center"/>
                          </w:tcPr>
                          <w:p w14:paraId="2B0B91C6" w14:textId="77777777" w:rsidR="00D37D86" w:rsidRPr="00AA75E1" w:rsidRDefault="00D37D86" w:rsidP="00AA75E1">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Red</w:t>
                            </w:r>
                          </w:p>
                        </w:tc>
                        <w:tc>
                          <w:tcPr>
                            <w:tcW w:w="1276" w:type="dxa"/>
                            <w:vAlign w:val="center"/>
                          </w:tcPr>
                          <w:p w14:paraId="75E41505" w14:textId="77777777" w:rsidR="00D37D86" w:rsidRPr="00B90078" w:rsidRDefault="00D37D86" w:rsidP="00103183">
                            <w:pPr>
                              <w:spacing w:before="10"/>
                              <w:rPr>
                                <w:rFonts w:asciiTheme="minorHAnsi" w:hAnsiTheme="minorHAnsi" w:cstheme="minorHAnsi"/>
                                <w:b/>
                                <w:bCs/>
                                <w:sz w:val="20"/>
                                <w:szCs w:val="20"/>
                              </w:rPr>
                            </w:pPr>
                            <w:r>
                              <w:rPr>
                                <w:rFonts w:asciiTheme="minorHAnsi" w:hAnsiTheme="minorHAnsi" w:cstheme="minorHAnsi"/>
                                <w:b/>
                                <w:bCs/>
                                <w:sz w:val="20"/>
                                <w:szCs w:val="20"/>
                              </w:rPr>
                              <w:t>Lorna Baxter</w:t>
                            </w:r>
                          </w:p>
                        </w:tc>
                      </w:tr>
                      <w:tr w:rsidR="00D37D86" w:rsidRPr="00431081" w14:paraId="5A842FBA" w14:textId="77777777" w:rsidTr="00045E35">
                        <w:trPr>
                          <w:trHeight w:val="214"/>
                        </w:trPr>
                        <w:tc>
                          <w:tcPr>
                            <w:tcW w:w="3823" w:type="dxa"/>
                            <w:vAlign w:val="center"/>
                          </w:tcPr>
                          <w:p w14:paraId="1644A409" w14:textId="77777777" w:rsidR="00D37D86" w:rsidRPr="00561709" w:rsidRDefault="00D37D86" w:rsidP="00561709">
                            <w:pPr>
                              <w:spacing w:before="10"/>
                              <w:ind w:hanging="30"/>
                              <w:rPr>
                                <w:rFonts w:asciiTheme="minorHAnsi" w:hAnsiTheme="minorHAnsi" w:cstheme="minorHAnsi"/>
                                <w:sz w:val="20"/>
                                <w:szCs w:val="20"/>
                              </w:rPr>
                            </w:pPr>
                            <w:r>
                              <w:rPr>
                                <w:rFonts w:asciiTheme="minorHAnsi" w:hAnsiTheme="minorHAnsi" w:cstheme="minorHAnsi"/>
                                <w:b/>
                                <w:bCs/>
                                <w:sz w:val="20"/>
                                <w:szCs w:val="20"/>
                              </w:rPr>
                              <w:t xml:space="preserve">OCC11.12 </w:t>
                            </w:r>
                            <w:r w:rsidRPr="00561709">
                              <w:rPr>
                                <w:rFonts w:asciiTheme="minorHAnsi" w:hAnsiTheme="minorHAnsi" w:cstheme="minorHAnsi"/>
                                <w:sz w:val="20"/>
                                <w:szCs w:val="20"/>
                              </w:rPr>
                              <w:t>Average cash balance compared to forecast average cash balance</w:t>
                            </w:r>
                          </w:p>
                        </w:tc>
                        <w:tc>
                          <w:tcPr>
                            <w:tcW w:w="850" w:type="dxa"/>
                            <w:vAlign w:val="center"/>
                          </w:tcPr>
                          <w:p w14:paraId="6255A0D2" w14:textId="77777777" w:rsidR="00D37D86" w:rsidRPr="00AA75E1" w:rsidRDefault="00D37D86" w:rsidP="00AA75E1">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1276" w:type="dxa"/>
                            <w:vAlign w:val="center"/>
                          </w:tcPr>
                          <w:p w14:paraId="0A0770EF" w14:textId="77777777" w:rsidR="00D37D86" w:rsidRPr="00B90078" w:rsidRDefault="00D37D86" w:rsidP="00103183">
                            <w:pPr>
                              <w:spacing w:before="10"/>
                              <w:rPr>
                                <w:rFonts w:asciiTheme="minorHAnsi" w:hAnsiTheme="minorHAnsi" w:cstheme="minorHAnsi"/>
                                <w:b/>
                                <w:bCs/>
                                <w:sz w:val="20"/>
                                <w:szCs w:val="20"/>
                              </w:rPr>
                            </w:pPr>
                            <w:r>
                              <w:rPr>
                                <w:rFonts w:asciiTheme="minorHAnsi" w:hAnsiTheme="minorHAnsi" w:cstheme="minorHAnsi"/>
                                <w:b/>
                                <w:bCs/>
                                <w:sz w:val="20"/>
                                <w:szCs w:val="20"/>
                              </w:rPr>
                              <w:t>Lorna Baxter</w:t>
                            </w:r>
                          </w:p>
                        </w:tc>
                      </w:tr>
                      <w:tr w:rsidR="00D37D86" w:rsidRPr="00431081" w14:paraId="0B1AAB0E" w14:textId="77777777" w:rsidTr="00045E35">
                        <w:trPr>
                          <w:trHeight w:val="214"/>
                        </w:trPr>
                        <w:tc>
                          <w:tcPr>
                            <w:tcW w:w="3823" w:type="dxa"/>
                            <w:vAlign w:val="center"/>
                          </w:tcPr>
                          <w:p w14:paraId="1C27E789" w14:textId="77777777" w:rsidR="00D37D86" w:rsidRPr="00B90078" w:rsidRDefault="00D37D86" w:rsidP="00561709">
                            <w:pPr>
                              <w:spacing w:before="10"/>
                              <w:ind w:hanging="30"/>
                              <w:jc w:val="both"/>
                              <w:rPr>
                                <w:rFonts w:asciiTheme="minorHAnsi" w:hAnsiTheme="minorHAnsi" w:cstheme="minorHAnsi"/>
                                <w:b/>
                                <w:bCs/>
                                <w:sz w:val="20"/>
                                <w:szCs w:val="20"/>
                              </w:rPr>
                            </w:pPr>
                            <w:r w:rsidRPr="00B90078">
                              <w:rPr>
                                <w:rFonts w:asciiTheme="minorHAnsi" w:hAnsiTheme="minorHAnsi" w:cstheme="minorHAnsi"/>
                                <w:b/>
                                <w:bCs/>
                                <w:sz w:val="20"/>
                                <w:szCs w:val="20"/>
                              </w:rPr>
                              <w:t>OCC1</w:t>
                            </w:r>
                            <w:r>
                              <w:rPr>
                                <w:rFonts w:asciiTheme="minorHAnsi" w:hAnsiTheme="minorHAnsi" w:cstheme="minorHAnsi"/>
                                <w:b/>
                                <w:bCs/>
                                <w:sz w:val="20"/>
                                <w:szCs w:val="20"/>
                              </w:rPr>
                              <w:t>1</w:t>
                            </w:r>
                            <w:r w:rsidRPr="00B90078">
                              <w:rPr>
                                <w:rFonts w:asciiTheme="minorHAnsi" w:hAnsiTheme="minorHAnsi" w:cstheme="minorHAnsi"/>
                                <w:b/>
                                <w:bCs/>
                                <w:sz w:val="20"/>
                                <w:szCs w:val="20"/>
                              </w:rPr>
                              <w:t>.</w:t>
                            </w:r>
                            <w:r>
                              <w:rPr>
                                <w:rFonts w:asciiTheme="minorHAnsi" w:hAnsiTheme="minorHAnsi" w:cstheme="minorHAnsi"/>
                                <w:b/>
                                <w:bCs/>
                                <w:sz w:val="20"/>
                                <w:szCs w:val="20"/>
                              </w:rPr>
                              <w:t xml:space="preserve">15: </w:t>
                            </w:r>
                            <w:r>
                              <w:rPr>
                                <w:rFonts w:asciiTheme="minorHAnsi" w:hAnsiTheme="minorHAnsi" w:cstheme="minorHAnsi"/>
                                <w:sz w:val="20"/>
                                <w:szCs w:val="20"/>
                              </w:rPr>
                              <w:t>Invoice Collection Rate – ASC Contribution debtors</w:t>
                            </w:r>
                          </w:p>
                        </w:tc>
                        <w:tc>
                          <w:tcPr>
                            <w:tcW w:w="850" w:type="dxa"/>
                            <w:vAlign w:val="center"/>
                          </w:tcPr>
                          <w:p w14:paraId="41EA3B00" w14:textId="77777777" w:rsidR="00D37D86" w:rsidRPr="00AA75E1" w:rsidRDefault="00D37D86" w:rsidP="00AA75E1">
                            <w:pPr>
                              <w:spacing w:before="10"/>
                              <w:jc w:val="center"/>
                              <w:rPr>
                                <w:rFonts w:asciiTheme="minorHAnsi" w:hAnsiTheme="minorHAnsi" w:cstheme="minorHAnsi"/>
                                <w:b/>
                                <w:bCs/>
                                <w:sz w:val="20"/>
                                <w:szCs w:val="20"/>
                              </w:rPr>
                            </w:pPr>
                            <w:r w:rsidRPr="00AA75E1">
                              <w:rPr>
                                <w:rFonts w:asciiTheme="minorHAnsi" w:hAnsiTheme="minorHAnsi" w:cstheme="minorHAnsi"/>
                                <w:b/>
                                <w:bCs/>
                                <w:sz w:val="20"/>
                                <w:szCs w:val="20"/>
                              </w:rPr>
                              <w:t>Amber</w:t>
                            </w:r>
                          </w:p>
                        </w:tc>
                        <w:tc>
                          <w:tcPr>
                            <w:tcW w:w="1276" w:type="dxa"/>
                            <w:vAlign w:val="center"/>
                          </w:tcPr>
                          <w:p w14:paraId="51E64CBC" w14:textId="77777777" w:rsidR="00D37D86" w:rsidRPr="00B90078" w:rsidRDefault="00D37D86" w:rsidP="00561709">
                            <w:pPr>
                              <w:spacing w:before="10"/>
                              <w:rPr>
                                <w:rFonts w:asciiTheme="minorHAnsi" w:hAnsiTheme="minorHAnsi" w:cstheme="minorHAnsi"/>
                                <w:b/>
                                <w:bCs/>
                                <w:sz w:val="20"/>
                                <w:szCs w:val="20"/>
                              </w:rPr>
                            </w:pPr>
                            <w:r>
                              <w:rPr>
                                <w:rFonts w:asciiTheme="minorHAnsi" w:hAnsiTheme="minorHAnsi" w:cstheme="minorHAnsi"/>
                                <w:b/>
                                <w:bCs/>
                                <w:sz w:val="20"/>
                                <w:szCs w:val="20"/>
                              </w:rPr>
                              <w:t>Lorna Baxter</w:t>
                            </w:r>
                          </w:p>
                        </w:tc>
                      </w:tr>
                    </w:tbl>
                    <w:p w14:paraId="1920FB00" w14:textId="77777777" w:rsidR="00D37D86" w:rsidRDefault="00D37D86" w:rsidP="00D37D86">
                      <w:pPr>
                        <w:pStyle w:val="Heading1"/>
                        <w:spacing w:before="157"/>
                        <w:ind w:left="786" w:hanging="786"/>
                        <w:jc w:val="both"/>
                        <w:rPr>
                          <w:b w:val="0"/>
                          <w:bCs w:val="0"/>
                          <w:sz w:val="24"/>
                          <w:szCs w:val="24"/>
                          <w:u w:val="none"/>
                        </w:rPr>
                      </w:pPr>
                    </w:p>
                    <w:p w14:paraId="2149EA58" w14:textId="77777777" w:rsidR="00D37D86" w:rsidRDefault="00D37D86" w:rsidP="00D37D86">
                      <w:pPr>
                        <w:pStyle w:val="ListParagraph"/>
                        <w:spacing w:before="10"/>
                        <w:ind w:left="426" w:firstLine="0"/>
                        <w:rPr>
                          <w:sz w:val="24"/>
                          <w:szCs w:val="24"/>
                        </w:rPr>
                      </w:pPr>
                    </w:p>
                    <w:p w14:paraId="2BB0066A" w14:textId="77777777" w:rsidR="00D37D86" w:rsidRDefault="00D37D86" w:rsidP="00D37D86">
                      <w:pPr>
                        <w:pStyle w:val="ListParagraph"/>
                        <w:spacing w:before="10"/>
                        <w:ind w:left="426" w:firstLine="0"/>
                        <w:rPr>
                          <w:sz w:val="24"/>
                          <w:szCs w:val="24"/>
                        </w:rPr>
                      </w:pPr>
                    </w:p>
                    <w:p w14:paraId="1AF2DF2F" w14:textId="77777777" w:rsidR="00D37D86" w:rsidRDefault="00D37D86" w:rsidP="00D37D86">
                      <w:pPr>
                        <w:pStyle w:val="ListParagraph"/>
                        <w:spacing w:before="10"/>
                        <w:ind w:left="426" w:firstLine="0"/>
                        <w:rPr>
                          <w:sz w:val="24"/>
                          <w:szCs w:val="24"/>
                        </w:rPr>
                      </w:pPr>
                    </w:p>
                    <w:p w14:paraId="7268DD45" w14:textId="77777777" w:rsidR="00D37D86" w:rsidRDefault="00D37D86" w:rsidP="00D37D86">
                      <w:pPr>
                        <w:pStyle w:val="ListParagraph"/>
                        <w:spacing w:before="10"/>
                        <w:ind w:left="426" w:firstLine="0"/>
                        <w:rPr>
                          <w:sz w:val="24"/>
                          <w:szCs w:val="24"/>
                        </w:rPr>
                      </w:pPr>
                    </w:p>
                    <w:p w14:paraId="3BFDA00B" w14:textId="77777777" w:rsidR="00D37D86" w:rsidRDefault="00D37D86" w:rsidP="00D37D86"/>
                    <w:p w14:paraId="0BF1A921" w14:textId="77777777" w:rsidR="00D37D86" w:rsidRDefault="00D37D86" w:rsidP="00D37D86"/>
                    <w:p w14:paraId="50F21660" w14:textId="77777777" w:rsidR="00D37D86" w:rsidRDefault="00D37D86" w:rsidP="00D37D86">
                      <w:r>
                        <w:t xml:space="preserve">98% of calls abandoned against a target of </w:t>
                      </w:r>
                    </w:p>
                  </w:txbxContent>
                </v:textbox>
                <w10:wrap anchorx="margin"/>
              </v:shape>
            </w:pict>
          </mc:Fallback>
        </mc:AlternateContent>
      </w:r>
    </w:p>
    <w:tbl>
      <w:tblPr>
        <w:tblpPr w:leftFromText="180" w:rightFromText="180" w:vertAnchor="text" w:tblpY="1"/>
        <w:tblOverlap w:val="never"/>
        <w:tblW w:w="2133" w:type="dxa"/>
        <w:tblLook w:val="04A0" w:firstRow="1" w:lastRow="0" w:firstColumn="1" w:lastColumn="0" w:noHBand="0" w:noVBand="1"/>
      </w:tblPr>
      <w:tblGrid>
        <w:gridCol w:w="857"/>
        <w:gridCol w:w="955"/>
        <w:gridCol w:w="999"/>
      </w:tblGrid>
      <w:tr w:rsidR="00D37D86" w:rsidRPr="002B164B" w14:paraId="0BD02F77" w14:textId="77777777" w:rsidTr="00FC0C44">
        <w:trPr>
          <w:trHeight w:val="358"/>
        </w:trPr>
        <w:tc>
          <w:tcPr>
            <w:tcW w:w="213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0DBB1D" w14:textId="77777777" w:rsidR="00D37D86" w:rsidRPr="002B164B" w:rsidRDefault="00D37D86" w:rsidP="00FC0C44">
            <w:pPr>
              <w:widowControl/>
              <w:autoSpaceDE/>
              <w:autoSpaceDN/>
              <w:rPr>
                <w:rFonts w:eastAsia="Times New Roman"/>
                <w:b/>
                <w:bCs/>
                <w:color w:val="000000"/>
                <w:sz w:val="16"/>
                <w:szCs w:val="16"/>
                <w:lang w:eastAsia="en-GB"/>
              </w:rPr>
            </w:pPr>
            <w:r w:rsidRPr="002B164B">
              <w:rPr>
                <w:rFonts w:eastAsia="Times New Roman"/>
                <w:b/>
                <w:bCs/>
                <w:color w:val="000000"/>
                <w:sz w:val="16"/>
                <w:szCs w:val="16"/>
                <w:lang w:eastAsia="en-GB"/>
              </w:rPr>
              <w:t xml:space="preserve">Priority OCC 10 </w:t>
            </w:r>
            <w:r>
              <w:rPr>
                <w:rFonts w:eastAsia="Times New Roman"/>
                <w:b/>
                <w:bCs/>
                <w:color w:val="000000"/>
                <w:sz w:val="16"/>
                <w:szCs w:val="16"/>
                <w:lang w:eastAsia="en-GB"/>
              </w:rPr>
              <w:t xml:space="preserve">&amp; 11 </w:t>
            </w:r>
            <w:r w:rsidRPr="002B164B">
              <w:rPr>
                <w:rFonts w:eastAsia="Times New Roman"/>
                <w:b/>
                <w:bCs/>
                <w:color w:val="000000"/>
                <w:sz w:val="16"/>
                <w:szCs w:val="16"/>
                <w:lang w:eastAsia="en-GB"/>
              </w:rPr>
              <w:t>overall performance:</w:t>
            </w:r>
          </w:p>
        </w:tc>
      </w:tr>
      <w:tr w:rsidR="00D37D86" w:rsidRPr="002B164B" w14:paraId="3CCB5772" w14:textId="77777777" w:rsidTr="00FC0C44">
        <w:trPr>
          <w:trHeight w:val="227"/>
        </w:trPr>
        <w:tc>
          <w:tcPr>
            <w:tcW w:w="607" w:type="dxa"/>
            <w:tcBorders>
              <w:top w:val="nil"/>
              <w:left w:val="single" w:sz="8" w:space="0" w:color="auto"/>
              <w:bottom w:val="single" w:sz="4" w:space="0" w:color="auto"/>
              <w:right w:val="single" w:sz="4" w:space="0" w:color="auto"/>
            </w:tcBorders>
            <w:shd w:val="clear" w:color="auto" w:fill="FFC000"/>
            <w:noWrap/>
            <w:vAlign w:val="center"/>
            <w:hideMark/>
          </w:tcPr>
          <w:p w14:paraId="4CB9993C"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April</w:t>
            </w:r>
          </w:p>
        </w:tc>
        <w:tc>
          <w:tcPr>
            <w:tcW w:w="752" w:type="dxa"/>
            <w:tcBorders>
              <w:top w:val="nil"/>
              <w:left w:val="nil"/>
              <w:bottom w:val="single" w:sz="4" w:space="0" w:color="auto"/>
              <w:right w:val="single" w:sz="4" w:space="0" w:color="auto"/>
            </w:tcBorders>
            <w:shd w:val="clear" w:color="auto" w:fill="FFC000"/>
            <w:noWrap/>
            <w:vAlign w:val="center"/>
            <w:hideMark/>
          </w:tcPr>
          <w:p w14:paraId="073864B3" w14:textId="77777777" w:rsidR="00D37D86" w:rsidRPr="002B164B" w:rsidRDefault="00D37D86" w:rsidP="00FC0C44">
            <w:pPr>
              <w:widowControl/>
              <w:autoSpaceDE/>
              <w:autoSpaceDN/>
              <w:jc w:val="center"/>
              <w:rPr>
                <w:rFonts w:eastAsia="Times New Roman"/>
                <w:color w:val="000000"/>
                <w:sz w:val="16"/>
                <w:szCs w:val="16"/>
                <w:lang w:eastAsia="en-GB"/>
              </w:rPr>
            </w:pPr>
            <w:r w:rsidRPr="002B164B">
              <w:rPr>
                <w:rFonts w:eastAsia="Times New Roman"/>
                <w:color w:val="000000"/>
                <w:sz w:val="16"/>
                <w:szCs w:val="16"/>
                <w:lang w:eastAsia="en-GB"/>
              </w:rPr>
              <w:t>May</w:t>
            </w:r>
          </w:p>
        </w:tc>
        <w:tc>
          <w:tcPr>
            <w:tcW w:w="774" w:type="dxa"/>
            <w:tcBorders>
              <w:top w:val="nil"/>
              <w:left w:val="nil"/>
              <w:bottom w:val="single" w:sz="4" w:space="0" w:color="auto"/>
              <w:right w:val="single" w:sz="8" w:space="0" w:color="auto"/>
            </w:tcBorders>
            <w:shd w:val="clear" w:color="auto" w:fill="FFC000"/>
            <w:noWrap/>
            <w:vAlign w:val="center"/>
            <w:hideMark/>
          </w:tcPr>
          <w:p w14:paraId="197BC899" w14:textId="77777777" w:rsidR="00D37D86" w:rsidRPr="002B164B" w:rsidRDefault="00D37D86" w:rsidP="00FC0C44">
            <w:pPr>
              <w:widowControl/>
              <w:autoSpaceDE/>
              <w:autoSpaceDN/>
              <w:jc w:val="center"/>
              <w:rPr>
                <w:rFonts w:eastAsia="Times New Roman"/>
                <w:color w:val="000000"/>
                <w:sz w:val="16"/>
                <w:szCs w:val="16"/>
                <w:lang w:eastAsia="en-GB"/>
              </w:rPr>
            </w:pPr>
            <w:r w:rsidRPr="002B164B">
              <w:rPr>
                <w:rFonts w:eastAsia="Times New Roman"/>
                <w:color w:val="000000"/>
                <w:sz w:val="16"/>
                <w:szCs w:val="16"/>
                <w:lang w:eastAsia="en-GB"/>
              </w:rPr>
              <w:t>June</w:t>
            </w:r>
          </w:p>
        </w:tc>
      </w:tr>
      <w:tr w:rsidR="00D37D86" w:rsidRPr="002B164B" w14:paraId="16B183CB" w14:textId="77777777" w:rsidTr="00FC0C44">
        <w:trPr>
          <w:trHeight w:val="227"/>
        </w:trPr>
        <w:tc>
          <w:tcPr>
            <w:tcW w:w="607" w:type="dxa"/>
            <w:tcBorders>
              <w:top w:val="nil"/>
              <w:left w:val="single" w:sz="8" w:space="0" w:color="auto"/>
              <w:bottom w:val="single" w:sz="4" w:space="0" w:color="auto"/>
              <w:right w:val="single" w:sz="4" w:space="0" w:color="auto"/>
            </w:tcBorders>
            <w:shd w:val="clear" w:color="auto" w:fill="FF0000"/>
            <w:noWrap/>
            <w:vAlign w:val="center"/>
            <w:hideMark/>
          </w:tcPr>
          <w:p w14:paraId="5FE67D4A" w14:textId="77777777" w:rsidR="00D37D86" w:rsidRPr="002B164B" w:rsidRDefault="00D37D86" w:rsidP="00FC0C44">
            <w:pPr>
              <w:widowControl/>
              <w:autoSpaceDE/>
              <w:autoSpaceDN/>
              <w:jc w:val="center"/>
              <w:rPr>
                <w:rFonts w:eastAsia="Times New Roman"/>
                <w:sz w:val="18"/>
                <w:szCs w:val="18"/>
                <w:lang w:eastAsia="en-GB"/>
              </w:rPr>
            </w:pPr>
            <w:r w:rsidRPr="002B164B">
              <w:rPr>
                <w:rFonts w:eastAsia="Times New Roman"/>
                <w:sz w:val="18"/>
                <w:szCs w:val="18"/>
                <w:lang w:eastAsia="en-GB"/>
              </w:rPr>
              <w:t>July</w:t>
            </w:r>
          </w:p>
        </w:tc>
        <w:tc>
          <w:tcPr>
            <w:tcW w:w="752" w:type="dxa"/>
            <w:tcBorders>
              <w:top w:val="nil"/>
              <w:left w:val="nil"/>
              <w:bottom w:val="single" w:sz="4" w:space="0" w:color="auto"/>
              <w:right w:val="single" w:sz="4" w:space="0" w:color="auto"/>
            </w:tcBorders>
            <w:shd w:val="clear" w:color="auto" w:fill="auto"/>
            <w:noWrap/>
            <w:vAlign w:val="center"/>
            <w:hideMark/>
          </w:tcPr>
          <w:p w14:paraId="286167A9" w14:textId="77777777" w:rsidR="00D37D86" w:rsidRPr="002B164B" w:rsidRDefault="00D37D86" w:rsidP="00FC0C44">
            <w:pPr>
              <w:widowControl/>
              <w:autoSpaceDE/>
              <w:autoSpaceDN/>
              <w:jc w:val="center"/>
              <w:rPr>
                <w:rFonts w:eastAsia="Times New Roman"/>
                <w:color w:val="000000"/>
                <w:sz w:val="16"/>
                <w:szCs w:val="16"/>
                <w:lang w:eastAsia="en-GB"/>
              </w:rPr>
            </w:pPr>
            <w:r w:rsidRPr="002B164B">
              <w:rPr>
                <w:rFonts w:eastAsia="Times New Roman"/>
                <w:color w:val="000000"/>
                <w:sz w:val="16"/>
                <w:szCs w:val="16"/>
                <w:lang w:eastAsia="en-GB"/>
              </w:rPr>
              <w:t>August</w:t>
            </w:r>
          </w:p>
        </w:tc>
        <w:tc>
          <w:tcPr>
            <w:tcW w:w="774" w:type="dxa"/>
            <w:tcBorders>
              <w:top w:val="nil"/>
              <w:left w:val="nil"/>
              <w:bottom w:val="single" w:sz="4" w:space="0" w:color="auto"/>
              <w:right w:val="single" w:sz="8" w:space="0" w:color="auto"/>
            </w:tcBorders>
            <w:shd w:val="clear" w:color="auto" w:fill="auto"/>
            <w:noWrap/>
            <w:vAlign w:val="center"/>
            <w:hideMark/>
          </w:tcPr>
          <w:p w14:paraId="3BD287D3" w14:textId="77777777" w:rsidR="00D37D86" w:rsidRPr="002B164B" w:rsidRDefault="00D37D86" w:rsidP="00FC0C44">
            <w:pPr>
              <w:widowControl/>
              <w:autoSpaceDE/>
              <w:autoSpaceDN/>
              <w:jc w:val="center"/>
              <w:rPr>
                <w:rFonts w:eastAsia="Times New Roman"/>
                <w:color w:val="000000"/>
                <w:sz w:val="16"/>
                <w:szCs w:val="16"/>
                <w:lang w:eastAsia="en-GB"/>
              </w:rPr>
            </w:pPr>
            <w:r w:rsidRPr="002B164B">
              <w:rPr>
                <w:rFonts w:eastAsia="Times New Roman"/>
                <w:color w:val="000000"/>
                <w:sz w:val="16"/>
                <w:szCs w:val="16"/>
                <w:lang w:eastAsia="en-GB"/>
              </w:rPr>
              <w:t>September</w:t>
            </w:r>
          </w:p>
        </w:tc>
      </w:tr>
      <w:tr w:rsidR="00D37D86" w:rsidRPr="002B164B" w14:paraId="2C6BB80B" w14:textId="77777777" w:rsidTr="00FC0C44">
        <w:trPr>
          <w:trHeight w:val="243"/>
        </w:trPr>
        <w:tc>
          <w:tcPr>
            <w:tcW w:w="607" w:type="dxa"/>
            <w:tcBorders>
              <w:top w:val="nil"/>
              <w:left w:val="single" w:sz="8" w:space="0" w:color="auto"/>
              <w:bottom w:val="single" w:sz="4" w:space="0" w:color="auto"/>
              <w:right w:val="single" w:sz="4" w:space="0" w:color="auto"/>
            </w:tcBorders>
            <w:shd w:val="clear" w:color="auto" w:fill="auto"/>
            <w:noWrap/>
            <w:vAlign w:val="center"/>
            <w:hideMark/>
          </w:tcPr>
          <w:p w14:paraId="3319C9EE"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October</w:t>
            </w:r>
          </w:p>
        </w:tc>
        <w:tc>
          <w:tcPr>
            <w:tcW w:w="752" w:type="dxa"/>
            <w:tcBorders>
              <w:top w:val="nil"/>
              <w:left w:val="nil"/>
              <w:bottom w:val="single" w:sz="4" w:space="0" w:color="auto"/>
              <w:right w:val="single" w:sz="4" w:space="0" w:color="auto"/>
            </w:tcBorders>
            <w:shd w:val="clear" w:color="auto" w:fill="auto"/>
            <w:noWrap/>
            <w:vAlign w:val="center"/>
            <w:hideMark/>
          </w:tcPr>
          <w:p w14:paraId="7F64785D" w14:textId="77777777" w:rsidR="00D37D86" w:rsidRPr="002B164B" w:rsidRDefault="00D37D86" w:rsidP="00FC0C44">
            <w:pPr>
              <w:widowControl/>
              <w:autoSpaceDE/>
              <w:autoSpaceDN/>
              <w:jc w:val="center"/>
              <w:rPr>
                <w:rFonts w:eastAsia="Times New Roman"/>
                <w:color w:val="000000"/>
                <w:sz w:val="16"/>
                <w:szCs w:val="16"/>
                <w:lang w:eastAsia="en-GB"/>
              </w:rPr>
            </w:pPr>
            <w:r w:rsidRPr="002B164B">
              <w:rPr>
                <w:rFonts w:eastAsia="Times New Roman"/>
                <w:color w:val="000000"/>
                <w:sz w:val="16"/>
                <w:szCs w:val="16"/>
                <w:lang w:eastAsia="en-GB"/>
              </w:rPr>
              <w:t>November</w:t>
            </w:r>
          </w:p>
        </w:tc>
        <w:tc>
          <w:tcPr>
            <w:tcW w:w="774" w:type="dxa"/>
            <w:tcBorders>
              <w:top w:val="nil"/>
              <w:left w:val="nil"/>
              <w:bottom w:val="single" w:sz="4" w:space="0" w:color="auto"/>
              <w:right w:val="single" w:sz="8" w:space="0" w:color="auto"/>
            </w:tcBorders>
            <w:shd w:val="clear" w:color="auto" w:fill="auto"/>
            <w:noWrap/>
            <w:vAlign w:val="center"/>
            <w:hideMark/>
          </w:tcPr>
          <w:p w14:paraId="4C6A7DDF" w14:textId="77777777" w:rsidR="00D37D86" w:rsidRPr="002B164B" w:rsidRDefault="00D37D86" w:rsidP="00FC0C44">
            <w:pPr>
              <w:widowControl/>
              <w:autoSpaceDE/>
              <w:autoSpaceDN/>
              <w:jc w:val="center"/>
              <w:rPr>
                <w:rFonts w:eastAsia="Times New Roman"/>
                <w:color w:val="000000"/>
                <w:sz w:val="16"/>
                <w:szCs w:val="16"/>
                <w:lang w:eastAsia="en-GB"/>
              </w:rPr>
            </w:pPr>
            <w:r w:rsidRPr="002B164B">
              <w:rPr>
                <w:rFonts w:eastAsia="Times New Roman"/>
                <w:color w:val="000000"/>
                <w:sz w:val="16"/>
                <w:szCs w:val="16"/>
                <w:lang w:eastAsia="en-GB"/>
              </w:rPr>
              <w:t>December</w:t>
            </w:r>
          </w:p>
        </w:tc>
      </w:tr>
      <w:tr w:rsidR="00D37D86" w:rsidRPr="002B164B" w14:paraId="54E25DDB" w14:textId="77777777" w:rsidTr="00FC0C44">
        <w:trPr>
          <w:trHeight w:val="222"/>
        </w:trPr>
        <w:tc>
          <w:tcPr>
            <w:tcW w:w="607" w:type="dxa"/>
            <w:tcBorders>
              <w:top w:val="nil"/>
              <w:left w:val="single" w:sz="8" w:space="0" w:color="auto"/>
              <w:bottom w:val="single" w:sz="8" w:space="0" w:color="auto"/>
              <w:right w:val="single" w:sz="4" w:space="0" w:color="auto"/>
            </w:tcBorders>
            <w:shd w:val="clear" w:color="auto" w:fill="auto"/>
            <w:noWrap/>
            <w:vAlign w:val="center"/>
            <w:hideMark/>
          </w:tcPr>
          <w:p w14:paraId="3B804448" w14:textId="77777777" w:rsidR="00D37D86" w:rsidRPr="002B164B" w:rsidRDefault="00D37D86" w:rsidP="00FC0C44">
            <w:pPr>
              <w:widowControl/>
              <w:autoSpaceDE/>
              <w:autoSpaceDN/>
              <w:jc w:val="center"/>
              <w:rPr>
                <w:rFonts w:eastAsia="Times New Roman"/>
                <w:color w:val="000000"/>
                <w:sz w:val="18"/>
                <w:szCs w:val="18"/>
                <w:lang w:eastAsia="en-GB"/>
              </w:rPr>
            </w:pPr>
            <w:r w:rsidRPr="002B164B">
              <w:rPr>
                <w:rFonts w:eastAsia="Times New Roman"/>
                <w:color w:val="000000"/>
                <w:sz w:val="18"/>
                <w:szCs w:val="18"/>
                <w:lang w:eastAsia="en-GB"/>
              </w:rPr>
              <w:t>January</w:t>
            </w:r>
          </w:p>
        </w:tc>
        <w:tc>
          <w:tcPr>
            <w:tcW w:w="752" w:type="dxa"/>
            <w:tcBorders>
              <w:top w:val="nil"/>
              <w:left w:val="nil"/>
              <w:bottom w:val="single" w:sz="8" w:space="0" w:color="auto"/>
              <w:right w:val="single" w:sz="4" w:space="0" w:color="auto"/>
            </w:tcBorders>
            <w:shd w:val="clear" w:color="auto" w:fill="auto"/>
            <w:noWrap/>
            <w:vAlign w:val="center"/>
            <w:hideMark/>
          </w:tcPr>
          <w:p w14:paraId="42C8402B" w14:textId="77777777" w:rsidR="00D37D86" w:rsidRPr="002B164B" w:rsidRDefault="00D37D86" w:rsidP="00FC0C44">
            <w:pPr>
              <w:widowControl/>
              <w:autoSpaceDE/>
              <w:autoSpaceDN/>
              <w:jc w:val="center"/>
              <w:rPr>
                <w:rFonts w:eastAsia="Times New Roman"/>
                <w:color w:val="000000"/>
                <w:sz w:val="16"/>
                <w:szCs w:val="16"/>
                <w:lang w:eastAsia="en-GB"/>
              </w:rPr>
            </w:pPr>
            <w:r w:rsidRPr="002B164B">
              <w:rPr>
                <w:rFonts w:eastAsia="Times New Roman"/>
                <w:color w:val="000000"/>
                <w:sz w:val="16"/>
                <w:szCs w:val="16"/>
                <w:lang w:eastAsia="en-GB"/>
              </w:rPr>
              <w:t>February</w:t>
            </w:r>
          </w:p>
        </w:tc>
        <w:tc>
          <w:tcPr>
            <w:tcW w:w="774" w:type="dxa"/>
            <w:tcBorders>
              <w:top w:val="nil"/>
              <w:left w:val="nil"/>
              <w:bottom w:val="single" w:sz="8" w:space="0" w:color="auto"/>
              <w:right w:val="single" w:sz="8" w:space="0" w:color="auto"/>
            </w:tcBorders>
            <w:shd w:val="clear" w:color="auto" w:fill="auto"/>
            <w:noWrap/>
            <w:vAlign w:val="center"/>
            <w:hideMark/>
          </w:tcPr>
          <w:p w14:paraId="17528C70" w14:textId="77777777" w:rsidR="00D37D86" w:rsidRPr="002B164B" w:rsidRDefault="00D37D86" w:rsidP="00FC0C44">
            <w:pPr>
              <w:widowControl/>
              <w:autoSpaceDE/>
              <w:autoSpaceDN/>
              <w:jc w:val="center"/>
              <w:rPr>
                <w:rFonts w:eastAsia="Times New Roman"/>
                <w:color w:val="000000"/>
                <w:sz w:val="16"/>
                <w:szCs w:val="16"/>
                <w:lang w:eastAsia="en-GB"/>
              </w:rPr>
            </w:pPr>
            <w:r w:rsidRPr="002B164B">
              <w:rPr>
                <w:rFonts w:eastAsia="Times New Roman"/>
                <w:color w:val="000000"/>
                <w:sz w:val="16"/>
                <w:szCs w:val="16"/>
                <w:lang w:eastAsia="en-GB"/>
              </w:rPr>
              <w:t>March</w:t>
            </w:r>
          </w:p>
        </w:tc>
      </w:tr>
    </w:tbl>
    <w:p w14:paraId="0B378B1B" w14:textId="65A9EA64" w:rsidR="00D37D86" w:rsidRPr="002B164B" w:rsidRDefault="00D37D86" w:rsidP="00D37D86">
      <w:pPr>
        <w:ind w:hanging="284"/>
        <w:rPr>
          <w:b/>
          <w:bCs/>
        </w:rPr>
      </w:pPr>
    </w:p>
    <w:p w14:paraId="6CE0378A" w14:textId="77777777" w:rsidR="00D37D86" w:rsidRPr="002B164B" w:rsidRDefault="00D37D86" w:rsidP="00D37D86">
      <w:pPr>
        <w:ind w:hanging="284"/>
        <w:rPr>
          <w:b/>
          <w:bCs/>
        </w:rPr>
      </w:pPr>
    </w:p>
    <w:p w14:paraId="70BF93D4" w14:textId="77777777" w:rsidR="00D37D86" w:rsidRPr="002B164B" w:rsidRDefault="00D37D86" w:rsidP="00D37D86">
      <w:pPr>
        <w:ind w:hanging="284"/>
        <w:rPr>
          <w:b/>
          <w:bCs/>
        </w:rPr>
      </w:pPr>
    </w:p>
    <w:p w14:paraId="00971F09" w14:textId="77777777" w:rsidR="00D37D86" w:rsidRPr="002B164B" w:rsidRDefault="00D37D86" w:rsidP="00D37D86">
      <w:pPr>
        <w:pStyle w:val="BodyText"/>
        <w:tabs>
          <w:tab w:val="left" w:pos="2020"/>
        </w:tabs>
        <w:spacing w:before="10"/>
        <w:jc w:val="both"/>
        <w:rPr>
          <w:b/>
          <w:bCs/>
          <w:sz w:val="22"/>
          <w:szCs w:val="22"/>
          <w:u w:val="single"/>
        </w:rPr>
      </w:pPr>
    </w:p>
    <w:p w14:paraId="408E48DA" w14:textId="77777777" w:rsidR="00D37D86" w:rsidRPr="002B164B" w:rsidRDefault="00D37D86" w:rsidP="00D37D86">
      <w:pPr>
        <w:pStyle w:val="BodyText"/>
        <w:tabs>
          <w:tab w:val="left" w:pos="2020"/>
        </w:tabs>
        <w:spacing w:before="10"/>
        <w:jc w:val="both"/>
        <w:rPr>
          <w:b/>
          <w:bCs/>
          <w:sz w:val="22"/>
          <w:szCs w:val="22"/>
          <w:u w:val="single"/>
        </w:rPr>
      </w:pPr>
    </w:p>
    <w:p w14:paraId="2D8DAFF6" w14:textId="77777777" w:rsidR="00D37D86" w:rsidRPr="002B164B" w:rsidRDefault="00D37D86" w:rsidP="00D37D86">
      <w:pPr>
        <w:pStyle w:val="BodyText"/>
        <w:tabs>
          <w:tab w:val="left" w:pos="2020"/>
        </w:tabs>
        <w:spacing w:before="10"/>
        <w:jc w:val="both"/>
        <w:rPr>
          <w:b/>
          <w:bCs/>
          <w:sz w:val="22"/>
          <w:szCs w:val="22"/>
          <w:u w:val="single"/>
        </w:rPr>
      </w:pPr>
    </w:p>
    <w:p w14:paraId="2FA42A5D" w14:textId="77777777" w:rsidR="00D37D86" w:rsidRPr="002B164B" w:rsidRDefault="00D37D86" w:rsidP="00D37D86">
      <w:pPr>
        <w:pStyle w:val="BodyText"/>
        <w:tabs>
          <w:tab w:val="left" w:pos="2020"/>
        </w:tabs>
        <w:spacing w:before="10"/>
        <w:jc w:val="both"/>
        <w:rPr>
          <w:b/>
          <w:bCs/>
          <w:sz w:val="22"/>
          <w:szCs w:val="22"/>
          <w:u w:val="single"/>
        </w:rPr>
      </w:pPr>
    </w:p>
    <w:p w14:paraId="47F9FBE4" w14:textId="77777777" w:rsidR="00D37D86" w:rsidRPr="002B164B" w:rsidRDefault="00D37D86" w:rsidP="00D37D86">
      <w:pPr>
        <w:pStyle w:val="BodyText"/>
        <w:tabs>
          <w:tab w:val="left" w:pos="2020"/>
        </w:tabs>
        <w:spacing w:before="10"/>
        <w:jc w:val="both"/>
        <w:rPr>
          <w:b/>
          <w:bCs/>
          <w:sz w:val="22"/>
          <w:szCs w:val="22"/>
          <w:u w:val="single"/>
        </w:rPr>
      </w:pPr>
    </w:p>
    <w:p w14:paraId="5C4125F4" w14:textId="77777777" w:rsidR="00D37D86" w:rsidRPr="002B164B" w:rsidRDefault="00D37D86" w:rsidP="00D37D86">
      <w:pPr>
        <w:pStyle w:val="BodyText"/>
        <w:tabs>
          <w:tab w:val="left" w:pos="2020"/>
        </w:tabs>
        <w:spacing w:before="10"/>
        <w:ind w:left="426"/>
        <w:jc w:val="both"/>
        <w:rPr>
          <w:b/>
          <w:bCs/>
          <w:u w:val="single"/>
        </w:rPr>
      </w:pPr>
    </w:p>
    <w:p w14:paraId="4A59F076" w14:textId="77777777" w:rsidR="00D37D86" w:rsidRPr="002B164B" w:rsidRDefault="00D37D86" w:rsidP="00D37D86">
      <w:pPr>
        <w:pStyle w:val="BodyText"/>
        <w:tabs>
          <w:tab w:val="left" w:pos="2020"/>
        </w:tabs>
        <w:spacing w:before="10"/>
        <w:ind w:left="426"/>
        <w:jc w:val="both"/>
        <w:rPr>
          <w:b/>
          <w:bCs/>
          <w:u w:val="single"/>
        </w:rPr>
      </w:pPr>
    </w:p>
    <w:p w14:paraId="776AAB24" w14:textId="77777777" w:rsidR="00D37D86" w:rsidRPr="002B164B" w:rsidRDefault="00D37D86" w:rsidP="00D37D86">
      <w:pPr>
        <w:pStyle w:val="BodyText"/>
        <w:tabs>
          <w:tab w:val="left" w:pos="2020"/>
        </w:tabs>
        <w:spacing w:before="10"/>
        <w:ind w:left="426"/>
        <w:jc w:val="both"/>
        <w:rPr>
          <w:b/>
          <w:bCs/>
          <w:u w:val="single"/>
        </w:rPr>
      </w:pPr>
    </w:p>
    <w:p w14:paraId="523480D5" w14:textId="77777777" w:rsidR="00D37D86" w:rsidRPr="002B164B" w:rsidRDefault="00D37D86" w:rsidP="00D37D86">
      <w:pPr>
        <w:pStyle w:val="BodyText"/>
        <w:tabs>
          <w:tab w:val="left" w:pos="2020"/>
        </w:tabs>
        <w:spacing w:before="10"/>
        <w:ind w:left="426"/>
        <w:jc w:val="both"/>
        <w:rPr>
          <w:b/>
          <w:bCs/>
          <w:u w:val="single"/>
        </w:rPr>
      </w:pPr>
    </w:p>
    <w:p w14:paraId="433F55DA" w14:textId="77777777" w:rsidR="00D37D86" w:rsidRPr="002B164B" w:rsidRDefault="00D37D86" w:rsidP="00D37D86">
      <w:pPr>
        <w:pStyle w:val="BodyText"/>
        <w:tabs>
          <w:tab w:val="left" w:pos="2020"/>
        </w:tabs>
        <w:spacing w:before="10"/>
        <w:ind w:left="426"/>
        <w:jc w:val="both"/>
        <w:rPr>
          <w:b/>
          <w:bCs/>
          <w:u w:val="single"/>
        </w:rPr>
      </w:pPr>
    </w:p>
    <w:p w14:paraId="6FCD6A4D" w14:textId="77777777" w:rsidR="00D37D86" w:rsidRPr="002B164B" w:rsidRDefault="00D37D86" w:rsidP="00D37D86">
      <w:pPr>
        <w:pStyle w:val="BodyText"/>
        <w:tabs>
          <w:tab w:val="left" w:pos="2020"/>
        </w:tabs>
        <w:spacing w:before="10"/>
        <w:ind w:left="426"/>
        <w:jc w:val="both"/>
        <w:rPr>
          <w:b/>
          <w:bCs/>
          <w:u w:val="single"/>
        </w:rPr>
      </w:pPr>
    </w:p>
    <w:p w14:paraId="36741192" w14:textId="77777777" w:rsidR="00D37D86" w:rsidRPr="002B164B" w:rsidRDefault="00D37D86" w:rsidP="00D37D86">
      <w:pPr>
        <w:pStyle w:val="BodyText"/>
        <w:tabs>
          <w:tab w:val="left" w:pos="2020"/>
        </w:tabs>
        <w:spacing w:before="10"/>
        <w:ind w:left="426"/>
        <w:jc w:val="both"/>
        <w:rPr>
          <w:b/>
          <w:bCs/>
          <w:u w:val="single"/>
        </w:rPr>
      </w:pPr>
    </w:p>
    <w:p w14:paraId="1DD2E2C9" w14:textId="77777777" w:rsidR="00D37D86" w:rsidRPr="002B164B" w:rsidRDefault="00D37D86" w:rsidP="00D37D86">
      <w:pPr>
        <w:pStyle w:val="BodyText"/>
        <w:tabs>
          <w:tab w:val="left" w:pos="2020"/>
        </w:tabs>
        <w:spacing w:before="10"/>
        <w:ind w:left="426"/>
        <w:jc w:val="both"/>
        <w:rPr>
          <w:b/>
          <w:bCs/>
          <w:u w:val="single"/>
        </w:rPr>
      </w:pPr>
    </w:p>
    <w:p w14:paraId="3E52FD34" w14:textId="77777777" w:rsidR="00D37D86" w:rsidRDefault="00D37D86" w:rsidP="00D37D86">
      <w:pPr>
        <w:pStyle w:val="BodyText"/>
        <w:tabs>
          <w:tab w:val="left" w:pos="2020"/>
        </w:tabs>
        <w:spacing w:before="10"/>
        <w:ind w:left="426"/>
        <w:jc w:val="both"/>
        <w:rPr>
          <w:b/>
          <w:bCs/>
          <w:u w:val="single"/>
        </w:rPr>
      </w:pPr>
    </w:p>
    <w:p w14:paraId="10C898F9" w14:textId="77777777" w:rsidR="00D37D86" w:rsidRDefault="00D37D86" w:rsidP="00D37D86">
      <w:pPr>
        <w:pStyle w:val="BodyText"/>
        <w:tabs>
          <w:tab w:val="left" w:pos="2020"/>
        </w:tabs>
        <w:spacing w:before="10"/>
        <w:ind w:left="426"/>
        <w:jc w:val="both"/>
        <w:rPr>
          <w:b/>
          <w:bCs/>
          <w:u w:val="single"/>
        </w:rPr>
      </w:pPr>
    </w:p>
    <w:p w14:paraId="7AA13D34" w14:textId="77777777" w:rsidR="00D37D86" w:rsidRDefault="00D37D86" w:rsidP="00D37D86">
      <w:pPr>
        <w:pStyle w:val="BodyText"/>
        <w:tabs>
          <w:tab w:val="left" w:pos="2020"/>
        </w:tabs>
        <w:spacing w:before="10"/>
        <w:ind w:left="426"/>
        <w:jc w:val="both"/>
        <w:rPr>
          <w:b/>
          <w:bCs/>
          <w:u w:val="single"/>
        </w:rPr>
      </w:pPr>
    </w:p>
    <w:p w14:paraId="16B5EF4D" w14:textId="77777777" w:rsidR="00D37D86" w:rsidRDefault="00D37D86" w:rsidP="00D37D86">
      <w:pPr>
        <w:pStyle w:val="BodyText"/>
        <w:tabs>
          <w:tab w:val="left" w:pos="2020"/>
        </w:tabs>
        <w:spacing w:before="10"/>
        <w:ind w:left="426"/>
        <w:jc w:val="both"/>
        <w:rPr>
          <w:b/>
          <w:bCs/>
          <w:u w:val="single"/>
        </w:rPr>
      </w:pPr>
    </w:p>
    <w:p w14:paraId="5CAA16BE" w14:textId="4166E1E9" w:rsidR="00D37D86" w:rsidRDefault="00D37D86" w:rsidP="00D37D86">
      <w:pPr>
        <w:pStyle w:val="BodyText"/>
        <w:tabs>
          <w:tab w:val="left" w:pos="2020"/>
        </w:tabs>
        <w:spacing w:before="10"/>
        <w:ind w:left="426"/>
        <w:jc w:val="both"/>
        <w:rPr>
          <w:b/>
          <w:bCs/>
          <w:u w:val="single"/>
        </w:rPr>
      </w:pPr>
    </w:p>
    <w:p w14:paraId="22F5920B" w14:textId="41F08723" w:rsidR="0080193A" w:rsidRDefault="0080193A" w:rsidP="00D37D86">
      <w:pPr>
        <w:pStyle w:val="BodyText"/>
        <w:tabs>
          <w:tab w:val="left" w:pos="2020"/>
        </w:tabs>
        <w:spacing w:before="10"/>
        <w:ind w:left="426"/>
        <w:jc w:val="both"/>
        <w:rPr>
          <w:b/>
          <w:bCs/>
          <w:u w:val="single"/>
        </w:rPr>
      </w:pPr>
    </w:p>
    <w:p w14:paraId="437D2D12" w14:textId="3436DFD6" w:rsidR="0080193A" w:rsidRDefault="0080193A" w:rsidP="00D37D86">
      <w:pPr>
        <w:pStyle w:val="BodyText"/>
        <w:tabs>
          <w:tab w:val="left" w:pos="2020"/>
        </w:tabs>
        <w:spacing w:before="10"/>
        <w:ind w:left="426"/>
        <w:jc w:val="both"/>
        <w:rPr>
          <w:b/>
          <w:bCs/>
          <w:u w:val="single"/>
        </w:rPr>
      </w:pPr>
    </w:p>
    <w:p w14:paraId="3835D57B" w14:textId="044BA721" w:rsidR="0080193A" w:rsidRDefault="0080193A" w:rsidP="00D37D86">
      <w:pPr>
        <w:pStyle w:val="BodyText"/>
        <w:tabs>
          <w:tab w:val="left" w:pos="2020"/>
        </w:tabs>
        <w:spacing w:before="10"/>
        <w:ind w:left="426"/>
        <w:jc w:val="both"/>
        <w:rPr>
          <w:b/>
          <w:bCs/>
          <w:u w:val="single"/>
        </w:rPr>
      </w:pPr>
    </w:p>
    <w:p w14:paraId="65574F7D" w14:textId="61915895" w:rsidR="0080193A" w:rsidRDefault="0080193A" w:rsidP="00D37D86">
      <w:pPr>
        <w:pStyle w:val="BodyText"/>
        <w:tabs>
          <w:tab w:val="left" w:pos="2020"/>
        </w:tabs>
        <w:spacing w:before="10"/>
        <w:ind w:left="426"/>
        <w:jc w:val="both"/>
        <w:rPr>
          <w:b/>
          <w:bCs/>
          <w:u w:val="single"/>
        </w:rPr>
      </w:pPr>
    </w:p>
    <w:p w14:paraId="200034BB" w14:textId="77777777" w:rsidR="0080193A" w:rsidRDefault="0080193A" w:rsidP="00D37D86">
      <w:pPr>
        <w:pStyle w:val="BodyText"/>
        <w:tabs>
          <w:tab w:val="left" w:pos="2020"/>
        </w:tabs>
        <w:spacing w:before="10"/>
        <w:ind w:left="426"/>
        <w:jc w:val="both"/>
        <w:rPr>
          <w:b/>
          <w:bCs/>
          <w:u w:val="single"/>
        </w:rPr>
      </w:pPr>
    </w:p>
    <w:p w14:paraId="7070AC94" w14:textId="77777777" w:rsidR="00D37D86" w:rsidRPr="002B164B" w:rsidRDefault="00D37D86" w:rsidP="00D37D86">
      <w:pPr>
        <w:pStyle w:val="BodyText"/>
        <w:tabs>
          <w:tab w:val="left" w:pos="2020"/>
        </w:tabs>
        <w:spacing w:before="10"/>
        <w:ind w:left="426"/>
        <w:jc w:val="both"/>
        <w:rPr>
          <w:color w:val="FF0000"/>
        </w:rPr>
      </w:pPr>
      <w:r w:rsidRPr="002B164B">
        <w:rPr>
          <w:b/>
          <w:bCs/>
          <w:u w:val="single"/>
        </w:rPr>
        <w:t>Customer Contact Centre Comments from directorate</w:t>
      </w:r>
      <w:r w:rsidRPr="002B164B">
        <w:rPr>
          <w:spacing w:val="2"/>
        </w:rPr>
        <w:t>:</w:t>
      </w:r>
      <w:r w:rsidRPr="002B164B">
        <w:rPr>
          <w:color w:val="FF0000"/>
        </w:rPr>
        <w:t xml:space="preserve"> </w:t>
      </w:r>
    </w:p>
    <w:p w14:paraId="2D99979D" w14:textId="77777777" w:rsidR="00D37D86" w:rsidRPr="002B164B" w:rsidRDefault="00D37D86" w:rsidP="00D37D86">
      <w:pPr>
        <w:pStyle w:val="BodyText"/>
        <w:tabs>
          <w:tab w:val="left" w:pos="2020"/>
        </w:tabs>
        <w:spacing w:before="10"/>
        <w:ind w:left="426"/>
        <w:jc w:val="both"/>
      </w:pPr>
      <w:r w:rsidRPr="002B164B">
        <w:rPr>
          <w:b/>
          <w:bCs/>
        </w:rPr>
        <w:t>OCC10.03:</w:t>
      </w:r>
      <w:r w:rsidRPr="002B164B">
        <w:t xml:space="preserve"> Latest satisfaction survey – July – 112 customers surveyed out of 13,023 calls received, which was 0.86%. 62% of customers were satisfied with the service they received. 64.8% of customers were satisfied with the adviser they spoke to. A project has started on 1 August to try to achieve a higher score.</w:t>
      </w:r>
    </w:p>
    <w:p w14:paraId="785A2099" w14:textId="77777777" w:rsidR="00D37D86" w:rsidRPr="002B164B" w:rsidRDefault="00D37D86" w:rsidP="00D37D86">
      <w:pPr>
        <w:pStyle w:val="BodyText"/>
        <w:tabs>
          <w:tab w:val="left" w:pos="2020"/>
        </w:tabs>
        <w:spacing w:before="10"/>
        <w:ind w:left="426"/>
        <w:jc w:val="both"/>
      </w:pPr>
      <w:r w:rsidRPr="002B164B">
        <w:rPr>
          <w:b/>
          <w:bCs/>
        </w:rPr>
        <w:t>OCC10.04:</w:t>
      </w:r>
      <w:r w:rsidRPr="002B164B">
        <w:t xml:space="preserve"> 7,455 inbound phone contacts were resolved at first point of contact. Changes were made at the beginning of June to add this metric to our telephony system. Since this has happened, the number of contacts resolved at first contact has started</w:t>
      </w:r>
      <w:r>
        <w:t xml:space="preserve"> </w:t>
      </w:r>
      <w:r w:rsidRPr="002B164B">
        <w:t>to increase.</w:t>
      </w:r>
    </w:p>
    <w:p w14:paraId="34A1811F" w14:textId="77777777" w:rsidR="00D37D86" w:rsidRPr="002B164B" w:rsidRDefault="00D37D86" w:rsidP="00D37D86">
      <w:pPr>
        <w:pStyle w:val="BodyText"/>
        <w:tabs>
          <w:tab w:val="left" w:pos="2020"/>
        </w:tabs>
        <w:spacing w:before="10"/>
        <w:ind w:left="426"/>
        <w:jc w:val="both"/>
      </w:pPr>
      <w:r w:rsidRPr="002B164B">
        <w:rPr>
          <w:b/>
          <w:bCs/>
        </w:rPr>
        <w:t>OCC10.05:</w:t>
      </w:r>
      <w:r w:rsidRPr="002B164B">
        <w:t xml:space="preserve"> During July, the Customer Service Centre received 13,023 inbound calls, down 6.2% against June. Compared to July 2021, they are up by 1.9%. The abandonment rate increased to 17.6%.</w:t>
      </w:r>
    </w:p>
    <w:p w14:paraId="32E35FB3" w14:textId="77777777" w:rsidR="00D37D86" w:rsidRPr="002B164B" w:rsidRDefault="00D37D86" w:rsidP="00D37D86">
      <w:pPr>
        <w:pStyle w:val="BodyText"/>
        <w:tabs>
          <w:tab w:val="left" w:pos="2020"/>
        </w:tabs>
        <w:spacing w:before="10"/>
        <w:ind w:left="426"/>
        <w:jc w:val="both"/>
      </w:pPr>
      <w:r w:rsidRPr="002B164B">
        <w:t>We also dealt with 179 webchats across seven service areas of our website. We also dealt with 16 social media contacts from the official OCC Twitter &amp; Facebook pages. Demand across some of our services remain high and the number of vacancies we have is causing pressures in the teams.</w:t>
      </w:r>
    </w:p>
    <w:p w14:paraId="57DB1CE9" w14:textId="77777777" w:rsidR="00D37D86" w:rsidRPr="002B164B" w:rsidRDefault="00D37D86" w:rsidP="00D37D86">
      <w:pPr>
        <w:pStyle w:val="BodyText"/>
        <w:tabs>
          <w:tab w:val="left" w:pos="2020"/>
        </w:tabs>
        <w:spacing w:before="10"/>
        <w:ind w:left="426"/>
        <w:jc w:val="both"/>
      </w:pPr>
    </w:p>
    <w:tbl>
      <w:tblPr>
        <w:tblStyle w:val="TableGrid"/>
        <w:tblW w:w="8501" w:type="dxa"/>
        <w:tblInd w:w="421" w:type="dxa"/>
        <w:tblLook w:val="04A0" w:firstRow="1" w:lastRow="0" w:firstColumn="1" w:lastColumn="0" w:noHBand="0" w:noVBand="1"/>
      </w:tblPr>
      <w:tblGrid>
        <w:gridCol w:w="1122"/>
        <w:gridCol w:w="7379"/>
      </w:tblGrid>
      <w:tr w:rsidR="00D37D86" w:rsidRPr="002B164B" w14:paraId="79F32DD8" w14:textId="77777777" w:rsidTr="00FC0C44">
        <w:trPr>
          <w:trHeight w:val="274"/>
        </w:trPr>
        <w:tc>
          <w:tcPr>
            <w:tcW w:w="1122" w:type="dxa"/>
          </w:tcPr>
          <w:p w14:paraId="0BF0EA0B" w14:textId="77777777" w:rsidR="00D37D86" w:rsidRPr="00021453" w:rsidRDefault="00D37D86" w:rsidP="00FC0C44">
            <w:pPr>
              <w:jc w:val="both"/>
              <w:rPr>
                <w:b/>
                <w:bCs/>
                <w:sz w:val="20"/>
                <w:szCs w:val="20"/>
              </w:rPr>
            </w:pPr>
            <w:r w:rsidRPr="00021453">
              <w:rPr>
                <w:b/>
                <w:bCs/>
                <w:sz w:val="20"/>
                <w:szCs w:val="20"/>
              </w:rPr>
              <w:t>Risk impact</w:t>
            </w:r>
          </w:p>
        </w:tc>
        <w:tc>
          <w:tcPr>
            <w:tcW w:w="7379" w:type="dxa"/>
          </w:tcPr>
          <w:p w14:paraId="344F61D7" w14:textId="77777777" w:rsidR="00D37D86" w:rsidRPr="002B164B" w:rsidRDefault="00D37D86" w:rsidP="00FC0C44">
            <w:pPr>
              <w:pStyle w:val="NoSpacing"/>
              <w:rPr>
                <w:b/>
                <w:bCs/>
                <w:sz w:val="20"/>
                <w:szCs w:val="20"/>
              </w:rPr>
            </w:pPr>
            <w:r w:rsidRPr="002B164B">
              <w:rPr>
                <w:b/>
                <w:bCs/>
                <w:sz w:val="20"/>
                <w:szCs w:val="36"/>
              </w:rPr>
              <w:t xml:space="preserve">OCC10.03: </w:t>
            </w:r>
            <w:r w:rsidRPr="00635528">
              <w:rPr>
                <w:sz w:val="20"/>
                <w:szCs w:val="36"/>
              </w:rPr>
              <w:t xml:space="preserve">The customer satisfaction survey poses no risk to the reputation of the Council nor service but is used </w:t>
            </w:r>
            <w:proofErr w:type="gramStart"/>
            <w:r w:rsidRPr="00635528">
              <w:rPr>
                <w:sz w:val="20"/>
                <w:szCs w:val="36"/>
              </w:rPr>
              <w:t>as a means to</w:t>
            </w:r>
            <w:proofErr w:type="gramEnd"/>
            <w:r w:rsidRPr="00635528">
              <w:rPr>
                <w:sz w:val="20"/>
                <w:szCs w:val="36"/>
              </w:rPr>
              <w:t xml:space="preserve"> improve services delivered to our customers. With the expected uptake of completed surveys over the next few months through our pilot, we will look to make improvements to enrich the customer experience.</w:t>
            </w:r>
          </w:p>
          <w:p w14:paraId="646957A2" w14:textId="77777777" w:rsidR="00D37D86" w:rsidRPr="002B164B" w:rsidRDefault="00D37D86" w:rsidP="00FC0C44">
            <w:pPr>
              <w:pStyle w:val="NoSpacing"/>
              <w:rPr>
                <w:b/>
                <w:bCs/>
                <w:sz w:val="20"/>
                <w:szCs w:val="20"/>
              </w:rPr>
            </w:pPr>
            <w:r w:rsidRPr="002B164B">
              <w:rPr>
                <w:b/>
                <w:bCs/>
                <w:sz w:val="20"/>
                <w:szCs w:val="20"/>
              </w:rPr>
              <w:t xml:space="preserve">OCC10.04: </w:t>
            </w:r>
            <w:r w:rsidRPr="002B164B">
              <w:rPr>
                <w:sz w:val="20"/>
                <w:szCs w:val="20"/>
              </w:rPr>
              <w:t>Whilst this potential increase in demand (by not attaining a reasonable First Call Resolution rate) can pose a risk to reputation and financial pressure on repeat demand, we continue to review how we capture this information and how we feed it back into service improvement. It is now captured within the phone systems, so is mandatory for advisors to complete. We are tying the results of this into the revised Service Improvement log to capture specific examples.</w:t>
            </w:r>
          </w:p>
          <w:p w14:paraId="3853DC96" w14:textId="77777777" w:rsidR="00D37D86" w:rsidRPr="002B164B" w:rsidRDefault="00D37D86" w:rsidP="00FC0C44">
            <w:pPr>
              <w:pStyle w:val="NoSpacing"/>
              <w:rPr>
                <w:sz w:val="20"/>
                <w:szCs w:val="20"/>
              </w:rPr>
            </w:pPr>
            <w:r w:rsidRPr="002B164B">
              <w:rPr>
                <w:b/>
                <w:bCs/>
                <w:sz w:val="20"/>
                <w:szCs w:val="20"/>
              </w:rPr>
              <w:t xml:space="preserve">OCC10.05: </w:t>
            </w:r>
            <w:r w:rsidRPr="002B164B">
              <w:rPr>
                <w:sz w:val="20"/>
                <w:szCs w:val="20"/>
              </w:rPr>
              <w:t>Abandoned ­ Risk If a higher number of calls are abandoned whilst waiting to be answered in the CSC, this can lead to reputational damage to the organisation, decreased advisor motivation therefore leading to greater turnover of staff and then increased abandoned calls.</w:t>
            </w:r>
          </w:p>
          <w:p w14:paraId="04422E34" w14:textId="77777777" w:rsidR="00D37D86" w:rsidRPr="006C191C" w:rsidRDefault="00D37D86" w:rsidP="00FC0C44">
            <w:pPr>
              <w:pStyle w:val="NoSpacing"/>
              <w:rPr>
                <w:sz w:val="20"/>
                <w:szCs w:val="20"/>
              </w:rPr>
            </w:pPr>
            <w:r w:rsidRPr="002B164B">
              <w:rPr>
                <w:sz w:val="20"/>
                <w:szCs w:val="20"/>
              </w:rPr>
              <w:t xml:space="preserve">Reviews of staffing and call arrival patterns are underway </w:t>
            </w:r>
            <w:proofErr w:type="gramStart"/>
            <w:r w:rsidRPr="002B164B">
              <w:rPr>
                <w:sz w:val="20"/>
                <w:szCs w:val="20"/>
              </w:rPr>
              <w:t>in order to</w:t>
            </w:r>
            <w:proofErr w:type="gramEnd"/>
            <w:r w:rsidRPr="002B164B">
              <w:rPr>
                <w:sz w:val="20"/>
                <w:szCs w:val="20"/>
              </w:rPr>
              <w:t xml:space="preserve"> adequately match volumes to</w:t>
            </w:r>
            <w:r>
              <w:rPr>
                <w:sz w:val="20"/>
                <w:szCs w:val="20"/>
              </w:rPr>
              <w:t xml:space="preserve"> </w:t>
            </w:r>
            <w:r w:rsidRPr="002B164B">
              <w:rPr>
                <w:sz w:val="20"/>
                <w:szCs w:val="20"/>
              </w:rPr>
              <w:t>staffing.</w:t>
            </w:r>
          </w:p>
        </w:tc>
      </w:tr>
      <w:tr w:rsidR="00D37D86" w:rsidRPr="002B164B" w14:paraId="3E214785" w14:textId="77777777" w:rsidTr="00FC0C44">
        <w:trPr>
          <w:trHeight w:val="557"/>
        </w:trPr>
        <w:tc>
          <w:tcPr>
            <w:tcW w:w="1122" w:type="dxa"/>
          </w:tcPr>
          <w:p w14:paraId="0132B713" w14:textId="77777777" w:rsidR="00D37D86" w:rsidRPr="00021453" w:rsidRDefault="00D37D86" w:rsidP="00FC0C44">
            <w:pPr>
              <w:jc w:val="both"/>
              <w:rPr>
                <w:b/>
                <w:bCs/>
                <w:sz w:val="20"/>
                <w:szCs w:val="20"/>
              </w:rPr>
            </w:pPr>
            <w:r w:rsidRPr="00021453">
              <w:rPr>
                <w:b/>
                <w:bCs/>
                <w:sz w:val="20"/>
                <w:szCs w:val="20"/>
              </w:rPr>
              <w:t>Finance impact</w:t>
            </w:r>
          </w:p>
        </w:tc>
        <w:tc>
          <w:tcPr>
            <w:tcW w:w="7379" w:type="dxa"/>
          </w:tcPr>
          <w:p w14:paraId="11A61445" w14:textId="77777777" w:rsidR="00D37D86" w:rsidRPr="002B164B" w:rsidRDefault="00D37D86" w:rsidP="00FC0C44">
            <w:pPr>
              <w:pStyle w:val="NoSpacing"/>
              <w:rPr>
                <w:b/>
                <w:bCs/>
                <w:sz w:val="20"/>
                <w:szCs w:val="20"/>
              </w:rPr>
            </w:pPr>
            <w:r w:rsidRPr="002B164B">
              <w:rPr>
                <w:b/>
                <w:bCs/>
                <w:sz w:val="20"/>
                <w:szCs w:val="36"/>
              </w:rPr>
              <w:t xml:space="preserve">OCC10.03: </w:t>
            </w:r>
            <w:r w:rsidRPr="00635528">
              <w:rPr>
                <w:sz w:val="20"/>
                <w:szCs w:val="36"/>
              </w:rPr>
              <w:t>There is not a financial risk associated with CSAT as this is a performance metric, so will have no implications on our budget.</w:t>
            </w:r>
          </w:p>
          <w:p w14:paraId="2B644FAB" w14:textId="77777777" w:rsidR="00D37D86" w:rsidRPr="002B164B" w:rsidRDefault="00D37D86" w:rsidP="00FC0C44">
            <w:pPr>
              <w:pStyle w:val="NoSpacing"/>
              <w:rPr>
                <w:b/>
                <w:bCs/>
                <w:sz w:val="20"/>
                <w:szCs w:val="20"/>
              </w:rPr>
            </w:pPr>
            <w:r w:rsidRPr="002B164B">
              <w:rPr>
                <w:b/>
                <w:bCs/>
                <w:sz w:val="20"/>
                <w:szCs w:val="20"/>
              </w:rPr>
              <w:t xml:space="preserve">OCC10.04: </w:t>
            </w:r>
            <w:r w:rsidRPr="002B164B">
              <w:rPr>
                <w:sz w:val="20"/>
                <w:szCs w:val="20"/>
              </w:rPr>
              <w:t>The financial impact of not attaining First Call Resolution means that increased demand is pushed to the service areas. This can create a resourcing pressure in those areas and can lead to repeat callers thus increasing the demand again on the CSC.</w:t>
            </w:r>
          </w:p>
          <w:p w14:paraId="425125BB" w14:textId="77777777" w:rsidR="00D37D86" w:rsidRPr="002B164B" w:rsidRDefault="00D37D86" w:rsidP="00FC0C44">
            <w:pPr>
              <w:pStyle w:val="BodyText"/>
              <w:spacing w:before="10"/>
              <w:jc w:val="both"/>
              <w:rPr>
                <w:highlight w:val="yellow"/>
              </w:rPr>
            </w:pPr>
            <w:r w:rsidRPr="002B164B">
              <w:rPr>
                <w:b/>
                <w:bCs/>
                <w:sz w:val="20"/>
                <w:szCs w:val="20"/>
              </w:rPr>
              <w:t xml:space="preserve">OCC10.05: </w:t>
            </w:r>
            <w:r w:rsidRPr="002B164B">
              <w:rPr>
                <w:sz w:val="20"/>
                <w:szCs w:val="20"/>
              </w:rPr>
              <w:t>Increased abandoned calls lead to increased turnover, increased recruitment costs, training times etc. this puts pressure on budgets.</w:t>
            </w:r>
          </w:p>
        </w:tc>
      </w:tr>
    </w:tbl>
    <w:p w14:paraId="1DC18D8A" w14:textId="77777777" w:rsidR="00D37D86" w:rsidRPr="002B164B" w:rsidRDefault="00D37D86" w:rsidP="00D37D86">
      <w:pPr>
        <w:pStyle w:val="BodyText"/>
        <w:tabs>
          <w:tab w:val="left" w:pos="2020"/>
        </w:tabs>
        <w:spacing w:before="10"/>
        <w:ind w:left="426"/>
        <w:jc w:val="both"/>
      </w:pPr>
    </w:p>
    <w:p w14:paraId="255FA0E8" w14:textId="77777777" w:rsidR="00D37D86" w:rsidRPr="002B164B" w:rsidRDefault="00D37D86" w:rsidP="00D37D86">
      <w:pPr>
        <w:pStyle w:val="BodyText"/>
        <w:tabs>
          <w:tab w:val="left" w:pos="2020"/>
        </w:tabs>
        <w:spacing w:before="10"/>
        <w:jc w:val="both"/>
      </w:pPr>
    </w:p>
    <w:p w14:paraId="60AC997B" w14:textId="77777777" w:rsidR="00D37D86" w:rsidRPr="002B164B" w:rsidRDefault="00D37D86" w:rsidP="00D37D86">
      <w:pPr>
        <w:pStyle w:val="BodyText"/>
        <w:tabs>
          <w:tab w:val="left" w:pos="2020"/>
        </w:tabs>
        <w:spacing w:before="10"/>
        <w:ind w:left="426"/>
        <w:jc w:val="both"/>
      </w:pPr>
      <w:r w:rsidRPr="002B164B">
        <w:rPr>
          <w:b/>
          <w:bCs/>
          <w:u w:val="single"/>
        </w:rPr>
        <w:t>Finance Comments</w:t>
      </w:r>
      <w:r w:rsidRPr="002B164B">
        <w:rPr>
          <w:spacing w:val="2"/>
        </w:rPr>
        <w:t>:</w:t>
      </w:r>
      <w:r w:rsidRPr="002B164B">
        <w:t xml:space="preserve"> </w:t>
      </w:r>
    </w:p>
    <w:p w14:paraId="5888DC2C" w14:textId="77777777" w:rsidR="00D37D86" w:rsidRPr="000A7240" w:rsidRDefault="00D37D86" w:rsidP="00D37D86">
      <w:pPr>
        <w:pStyle w:val="BodyText"/>
        <w:tabs>
          <w:tab w:val="left" w:pos="2020"/>
        </w:tabs>
        <w:spacing w:before="10"/>
        <w:ind w:left="426"/>
        <w:jc w:val="both"/>
      </w:pPr>
      <w:r w:rsidRPr="000A7240">
        <w:rPr>
          <w:b/>
          <w:bCs/>
        </w:rPr>
        <w:t>OCC11.01:</w:t>
      </w:r>
      <w:r w:rsidRPr="000A7240">
        <w:t xml:space="preserve"> The forecast variation for the council is an overspend of £</w:t>
      </w:r>
      <w:r>
        <w:t>5</w:t>
      </w:r>
      <w:r w:rsidRPr="000A7240">
        <w:t>.</w:t>
      </w:r>
      <w:r>
        <w:t>9</w:t>
      </w:r>
      <w:r w:rsidRPr="000A7240">
        <w:t>m, or 1.</w:t>
      </w:r>
      <w:r>
        <w:t>1</w:t>
      </w:r>
      <w:r w:rsidRPr="000A7240">
        <w:t>% of the budget. This is made up of a directorate overspend of £</w:t>
      </w:r>
      <w:r>
        <w:t>7</w:t>
      </w:r>
      <w:r w:rsidRPr="000A7240">
        <w:t>.</w:t>
      </w:r>
      <w:r>
        <w:t>2</w:t>
      </w:r>
      <w:r w:rsidRPr="000A7240">
        <w:t>m offset by £1.3m additional interest on balances held by the council. Within the total there is a forecast overspend of £</w:t>
      </w:r>
      <w:r>
        <w:t>7</w:t>
      </w:r>
      <w:r w:rsidRPr="000A7240">
        <w:t>.</w:t>
      </w:r>
      <w:r>
        <w:t>9</w:t>
      </w:r>
      <w:r w:rsidRPr="000A7240">
        <w:t>m for Children's Services reflecting increased demand and the availability and cost of care.</w:t>
      </w:r>
    </w:p>
    <w:p w14:paraId="157371AF" w14:textId="77777777" w:rsidR="00D37D86" w:rsidRPr="000A7240" w:rsidRDefault="00D37D86" w:rsidP="00D37D86">
      <w:pPr>
        <w:pStyle w:val="BodyText"/>
        <w:tabs>
          <w:tab w:val="left" w:pos="2020"/>
        </w:tabs>
        <w:spacing w:before="10"/>
        <w:ind w:left="426"/>
        <w:jc w:val="both"/>
      </w:pPr>
      <w:r w:rsidRPr="000A7240">
        <w:rPr>
          <w:b/>
          <w:bCs/>
        </w:rPr>
        <w:t>OCC11.02:</w:t>
      </w:r>
      <w:r w:rsidRPr="000A7240">
        <w:t xml:space="preserve"> The 2022/23 budget agreed includes planned directorate savings of £17.4m. 70% of these are currently on track to be delivered. £1.7m savings assessed as red relate to street lighting and a further £1.4m transformation savings in Commercial Development, Assets and Investment are not expected to be achieved. There are also £1.5m savings in Children's and £0.8m in Commercial Development, </w:t>
      </w:r>
      <w:proofErr w:type="gramStart"/>
      <w:r w:rsidRPr="000A7240">
        <w:t>Assets</w:t>
      </w:r>
      <w:proofErr w:type="gramEnd"/>
      <w:r w:rsidRPr="000A7240">
        <w:t xml:space="preserve"> and Investment</w:t>
      </w:r>
    </w:p>
    <w:p w14:paraId="08DCF70E" w14:textId="77777777" w:rsidR="00D37D86" w:rsidRPr="000A7240" w:rsidRDefault="00D37D86" w:rsidP="00D37D86">
      <w:pPr>
        <w:pStyle w:val="BodyText"/>
        <w:tabs>
          <w:tab w:val="left" w:pos="2020"/>
        </w:tabs>
        <w:spacing w:before="10"/>
        <w:ind w:left="426"/>
        <w:jc w:val="both"/>
      </w:pPr>
      <w:r w:rsidRPr="000A7240">
        <w:t>assessed as amber. The impact of the anticipated delivery of the savings is built into the forecast for each directorate.</w:t>
      </w:r>
    </w:p>
    <w:p w14:paraId="1FFE9B92" w14:textId="77777777" w:rsidR="00D37D86" w:rsidRDefault="00D37D86" w:rsidP="00D37D86">
      <w:pPr>
        <w:pStyle w:val="BodyText"/>
        <w:tabs>
          <w:tab w:val="left" w:pos="2020"/>
        </w:tabs>
        <w:spacing w:before="10"/>
        <w:ind w:left="426"/>
        <w:jc w:val="both"/>
      </w:pPr>
      <w:r w:rsidRPr="000A7240">
        <w:rPr>
          <w:b/>
          <w:bCs/>
        </w:rPr>
        <w:t>OCC11.05:</w:t>
      </w:r>
      <w:r w:rsidRPr="000A7240">
        <w:t xml:space="preserve"> The forecast directorate overspend of £</w:t>
      </w:r>
      <w:r>
        <w:t>7</w:t>
      </w:r>
      <w:r w:rsidRPr="000A7240">
        <w:t>.</w:t>
      </w:r>
      <w:r>
        <w:t>2</w:t>
      </w:r>
      <w:r w:rsidRPr="000A7240">
        <w:t>m includes a £</w:t>
      </w:r>
      <w:r>
        <w:t>7</w:t>
      </w:r>
      <w:r w:rsidRPr="000A7240">
        <w:t>.</w:t>
      </w:r>
      <w:r>
        <w:t>9</w:t>
      </w:r>
      <w:r w:rsidRPr="000A7240">
        <w:t xml:space="preserve">m overspend for Children's Services which is managing significant pressures reflecting the need for agency social workers to fill vacancies within the </w:t>
      </w:r>
      <w:proofErr w:type="gramStart"/>
      <w:r w:rsidRPr="000A7240">
        <w:t>front line</w:t>
      </w:r>
      <w:proofErr w:type="gramEnd"/>
      <w:r w:rsidRPr="000A7240">
        <w:t xml:space="preserve"> social care teams plus an increase in demand and the cost of care placements for children that the council cares for.</w:t>
      </w:r>
    </w:p>
    <w:p w14:paraId="05A2EE75" w14:textId="77777777" w:rsidR="00D37D86" w:rsidRPr="00007AB0" w:rsidRDefault="00D37D86" w:rsidP="00D37D86">
      <w:pPr>
        <w:pStyle w:val="BodyText"/>
        <w:tabs>
          <w:tab w:val="left" w:pos="2020"/>
        </w:tabs>
        <w:spacing w:before="10"/>
        <w:ind w:left="426"/>
        <w:jc w:val="both"/>
        <w:rPr>
          <w:b/>
          <w:bCs/>
        </w:rPr>
      </w:pPr>
      <w:r w:rsidRPr="00007AB0">
        <w:rPr>
          <w:b/>
          <w:bCs/>
        </w:rPr>
        <w:t xml:space="preserve">OCC11.06: </w:t>
      </w:r>
      <w:r>
        <w:rPr>
          <w:b/>
          <w:bCs/>
        </w:rPr>
        <w:t xml:space="preserve"> </w:t>
      </w:r>
      <w:r>
        <w:t>t</w:t>
      </w:r>
      <w:r w:rsidRPr="00D10B2D">
        <w:t>he forecast 2022/23 deficit compared to Dedicated Schools Grant (DSG) funding for High Needs is £17.5m</w:t>
      </w:r>
      <w:r>
        <w:t xml:space="preserve">. </w:t>
      </w:r>
      <w:r w:rsidRPr="00D10B2D">
        <w:rPr>
          <w:iCs/>
        </w:rPr>
        <w:t xml:space="preserve">In line with a change to the </w:t>
      </w:r>
      <w:r w:rsidRPr="00C451CA">
        <w:rPr>
          <w:iCs/>
          <w:highlight w:val="yellow"/>
        </w:rPr>
        <w:t>CIPFA</w:t>
      </w:r>
      <w:r w:rsidRPr="00D10B2D">
        <w:rPr>
          <w:iCs/>
        </w:rPr>
        <w:t xml:space="preserve"> code of practice on DSG High Needs deficits an unusable reserve was created in 2020/21 to hold negative High Needs DSG balances.  The forecast deficit would increase the total accumulated </w:t>
      </w:r>
      <w:r>
        <w:rPr>
          <w:iCs/>
        </w:rPr>
        <w:t xml:space="preserve">negative </w:t>
      </w:r>
      <w:r w:rsidRPr="00D10B2D">
        <w:rPr>
          <w:iCs/>
        </w:rPr>
        <w:t>balance</w:t>
      </w:r>
      <w:r>
        <w:rPr>
          <w:iCs/>
        </w:rPr>
        <w:t xml:space="preserve"> for High Needs </w:t>
      </w:r>
      <w:r w:rsidRPr="00D10B2D">
        <w:rPr>
          <w:iCs/>
        </w:rPr>
        <w:t>held in this reserve to £47.3m</w:t>
      </w:r>
      <w:r w:rsidRPr="00D10B2D">
        <w:rPr>
          <w:rFonts w:eastAsia="Times New Roman" w:cs="Times New Roman"/>
          <w:bCs/>
        </w:rPr>
        <w:t xml:space="preserve"> </w:t>
      </w:r>
      <w:proofErr w:type="gramStart"/>
      <w:r w:rsidRPr="00D10B2D">
        <w:rPr>
          <w:rFonts w:eastAsia="Times New Roman" w:cs="Times New Roman"/>
          <w:bCs/>
        </w:rPr>
        <w:t>at</w:t>
      </w:r>
      <w:proofErr w:type="gramEnd"/>
      <w:r w:rsidRPr="00D10B2D">
        <w:rPr>
          <w:rFonts w:eastAsia="Times New Roman" w:cs="Times New Roman"/>
          <w:bCs/>
        </w:rPr>
        <w:t xml:space="preserve"> 31 March 2023.</w:t>
      </w:r>
    </w:p>
    <w:p w14:paraId="56A2BDBE" w14:textId="77777777" w:rsidR="00D37D86" w:rsidRPr="002B164B" w:rsidRDefault="00D37D86" w:rsidP="00D37D86">
      <w:pPr>
        <w:pStyle w:val="BodyText"/>
        <w:tabs>
          <w:tab w:val="left" w:pos="2020"/>
        </w:tabs>
        <w:spacing w:before="10"/>
        <w:ind w:left="426"/>
        <w:jc w:val="both"/>
      </w:pPr>
      <w:bookmarkStart w:id="7" w:name="_Hlk111808954"/>
      <w:r w:rsidRPr="002B164B">
        <w:rPr>
          <w:b/>
          <w:bCs/>
        </w:rPr>
        <w:lastRenderedPageBreak/>
        <w:t>OCC11.08:</w:t>
      </w:r>
      <w:r w:rsidRPr="002B164B">
        <w:t xml:space="preserve"> </w:t>
      </w:r>
      <w:bookmarkEnd w:id="7"/>
      <w:r w:rsidRPr="002B164B">
        <w:t>This measure tracks invoices paid within 30 days of receipt and includes invoices paid via the self-service purchase order process, as well as invoices processed by Oxfordshire's Social Care Payments team via the social care finance systems. Social Care invoices account for 30% of invoices paid this month.</w:t>
      </w:r>
    </w:p>
    <w:p w14:paraId="3C56078D" w14:textId="77777777" w:rsidR="00D37D86" w:rsidRPr="002B164B" w:rsidRDefault="00D37D86" w:rsidP="00D37D86">
      <w:pPr>
        <w:pStyle w:val="BodyText"/>
        <w:tabs>
          <w:tab w:val="left" w:pos="2020"/>
        </w:tabs>
        <w:spacing w:before="10"/>
        <w:ind w:left="426"/>
        <w:jc w:val="both"/>
      </w:pPr>
      <w:r w:rsidRPr="002B164B">
        <w:t>The percentage of invoices paid on time is below target for the third month, whilst purchase order invoices have returned to above target, 95.6%, adult social care invoices have dropped from 93% to 90% paid on time.</w:t>
      </w:r>
    </w:p>
    <w:p w14:paraId="4B6C8AC8" w14:textId="77777777" w:rsidR="00D37D86" w:rsidRPr="002B164B" w:rsidRDefault="00D37D86" w:rsidP="00D37D86">
      <w:pPr>
        <w:pStyle w:val="BodyText"/>
        <w:tabs>
          <w:tab w:val="left" w:pos="2020"/>
        </w:tabs>
        <w:spacing w:before="10"/>
        <w:ind w:left="426"/>
        <w:jc w:val="both"/>
      </w:pPr>
      <w:r w:rsidRPr="002B164B">
        <w:t>As reported last month, the Social care payments team have vacancies which they are struggling to fill, and this is impacting performance. Furthermore, there are challenges with 'upstream' processes which are increasing the number   of invoices held in dispute and consequently impacting the performance. Since last month the Social Care Payments team have reviewed and streamlined their local process for dispute invoice management, introduced a revised exceptions process and escalated issues with upstream process issues to directorate service management.</w:t>
      </w:r>
    </w:p>
    <w:p w14:paraId="1E14FD57" w14:textId="77777777" w:rsidR="00D37D86" w:rsidRPr="002B164B" w:rsidRDefault="00D37D86" w:rsidP="00D37D86">
      <w:pPr>
        <w:pStyle w:val="BodyText"/>
        <w:tabs>
          <w:tab w:val="left" w:pos="2020"/>
        </w:tabs>
        <w:spacing w:before="10"/>
        <w:ind w:left="426"/>
        <w:jc w:val="both"/>
      </w:pPr>
      <w:r w:rsidRPr="002B164B">
        <w:rPr>
          <w:b/>
          <w:bCs/>
        </w:rPr>
        <w:t>OCC11.11:</w:t>
      </w:r>
      <w:r w:rsidRPr="002B164B">
        <w:t xml:space="preserve"> In 2021</w:t>
      </w:r>
      <w:r>
        <w:t>/</w:t>
      </w:r>
      <w:r w:rsidRPr="002B164B">
        <w:t>22 the trailing impacts of C</w:t>
      </w:r>
      <w:r>
        <w:t>OVID</w:t>
      </w:r>
      <w:r w:rsidRPr="002B164B">
        <w:t>­19 had a significant effect on bad debt related to means tested social care contributions and a £1million top up to the impairment was required.  In quarter four of 2021</w:t>
      </w:r>
      <w:r>
        <w:t>/</w:t>
      </w:r>
      <w:r w:rsidRPr="002B164B">
        <w:t>22 the Adults directorate with support from Finance created an 18-month plan to address the levels of bad debt; additional resources have been brought in and a multi skilled task group has been assembled to ring­fence and clear bad debt cases over the next 12 to 18 months.</w:t>
      </w:r>
    </w:p>
    <w:p w14:paraId="2647AE8D" w14:textId="77777777" w:rsidR="00D37D86" w:rsidRPr="002B164B" w:rsidRDefault="00D37D86" w:rsidP="00D37D86">
      <w:pPr>
        <w:pStyle w:val="BodyText"/>
        <w:tabs>
          <w:tab w:val="left" w:pos="2020"/>
        </w:tabs>
        <w:spacing w:before="10"/>
        <w:ind w:left="426"/>
        <w:jc w:val="both"/>
      </w:pPr>
      <w:r w:rsidRPr="002B164B">
        <w:t>The task group went live in May, completed recruitment in June</w:t>
      </w:r>
      <w:r>
        <w:t xml:space="preserve"> and</w:t>
      </w:r>
      <w:r w:rsidRPr="002B164B">
        <w:t xml:space="preserve"> from July the team has a full complement of posts. </w:t>
      </w:r>
      <w:r>
        <w:t>A</w:t>
      </w:r>
      <w:r w:rsidRPr="002B164B">
        <w:t>s reported previously a reduction in bad debt is not expected until quarter three of 2022</w:t>
      </w:r>
      <w:r>
        <w:t>/</w:t>
      </w:r>
      <w:r w:rsidRPr="002B164B">
        <w:t>23.</w:t>
      </w:r>
    </w:p>
    <w:p w14:paraId="270016B0" w14:textId="77777777" w:rsidR="00D37D86" w:rsidRPr="002B164B" w:rsidRDefault="00D37D86" w:rsidP="00D37D86">
      <w:pPr>
        <w:pStyle w:val="BodyText"/>
        <w:tabs>
          <w:tab w:val="left" w:pos="2020"/>
        </w:tabs>
        <w:spacing w:before="10"/>
        <w:ind w:left="426"/>
        <w:jc w:val="both"/>
      </w:pPr>
      <w:r w:rsidRPr="002B164B">
        <w:rPr>
          <w:b/>
          <w:bCs/>
        </w:rPr>
        <w:t>OCC11.12:</w:t>
      </w:r>
      <w:r w:rsidRPr="002B164B">
        <w:t xml:space="preserve"> Cash balances are higher than forecast due to slippage in the capital programme.</w:t>
      </w:r>
    </w:p>
    <w:p w14:paraId="49733202" w14:textId="77777777" w:rsidR="00D37D86" w:rsidRPr="002B164B" w:rsidRDefault="00D37D86" w:rsidP="00D37D86">
      <w:pPr>
        <w:pStyle w:val="BodyText"/>
        <w:tabs>
          <w:tab w:val="left" w:pos="2020"/>
        </w:tabs>
        <w:spacing w:before="10"/>
        <w:ind w:left="426"/>
        <w:jc w:val="both"/>
      </w:pPr>
      <w:r w:rsidRPr="002B164B">
        <w:rPr>
          <w:b/>
          <w:bCs/>
        </w:rPr>
        <w:t>OCC11.15:</w:t>
      </w:r>
      <w:r w:rsidRPr="002B164B">
        <w:t xml:space="preserve"> The 120-day invoice collection rate</w:t>
      </w:r>
      <w:r>
        <w:t xml:space="preserve"> for Adult social care debtors</w:t>
      </w:r>
      <w:r w:rsidRPr="002B164B">
        <w:t xml:space="preserve"> was 89% this period, below the 92% target.</w:t>
      </w:r>
    </w:p>
    <w:p w14:paraId="63EF7F82" w14:textId="635248EC" w:rsidR="00F23E94" w:rsidRDefault="00D37D86" w:rsidP="00910DB5">
      <w:pPr>
        <w:pStyle w:val="BodyText"/>
        <w:tabs>
          <w:tab w:val="left" w:pos="2020"/>
        </w:tabs>
        <w:spacing w:before="10"/>
        <w:ind w:left="426"/>
        <w:jc w:val="both"/>
        <w:rPr>
          <w:sz w:val="22"/>
          <w:szCs w:val="22"/>
          <w:highlight w:val="cyan"/>
        </w:rPr>
      </w:pPr>
      <w:r w:rsidRPr="002B164B">
        <w:t>As previously reported, reworked reminder communications are being developed by our partners to improve responses to reminder letters and should have a direct impact on collection rates. However, they are pending partner wide agreement and IT allocation to implement and are not expected until late Autumn 2022 at the earliest; a deployment date and final product has not been signed off.</w:t>
      </w:r>
    </w:p>
    <w:p w14:paraId="0FCEAB6C" w14:textId="77777777" w:rsidR="00F134C1" w:rsidRPr="00045E35" w:rsidRDefault="00F134C1" w:rsidP="00B2049F">
      <w:pPr>
        <w:pStyle w:val="BodyText"/>
        <w:tabs>
          <w:tab w:val="left" w:pos="2020"/>
        </w:tabs>
        <w:spacing w:before="10"/>
        <w:jc w:val="both"/>
        <w:rPr>
          <w:sz w:val="22"/>
          <w:szCs w:val="22"/>
          <w:highlight w:val="cyan"/>
        </w:rPr>
      </w:pPr>
    </w:p>
    <w:p w14:paraId="3F861651" w14:textId="77777777" w:rsidR="00910DB5" w:rsidRDefault="00910DB5" w:rsidP="00FB1EAD">
      <w:pPr>
        <w:ind w:hanging="284"/>
        <w:rPr>
          <w:b/>
          <w:bCs/>
          <w:sz w:val="28"/>
          <w:szCs w:val="28"/>
          <w:u w:val="single"/>
        </w:rPr>
      </w:pPr>
    </w:p>
    <w:p w14:paraId="52CEAB52" w14:textId="3E257F01" w:rsidR="002946FF" w:rsidRPr="0046355F" w:rsidRDefault="002946FF" w:rsidP="00FB1EAD">
      <w:pPr>
        <w:ind w:hanging="284"/>
        <w:rPr>
          <w:b/>
          <w:bCs/>
          <w:sz w:val="28"/>
          <w:szCs w:val="28"/>
          <w:u w:val="single"/>
        </w:rPr>
      </w:pPr>
      <w:r w:rsidRPr="0046355F">
        <w:rPr>
          <w:b/>
          <w:bCs/>
          <w:sz w:val="28"/>
          <w:szCs w:val="28"/>
          <w:u w:val="single"/>
        </w:rPr>
        <w:t xml:space="preserve">Performance Highlights </w:t>
      </w:r>
    </w:p>
    <w:p w14:paraId="492CA370" w14:textId="5086D15C" w:rsidR="0046355F" w:rsidRDefault="0046355F" w:rsidP="00FB1EAD">
      <w:pPr>
        <w:ind w:hanging="284"/>
        <w:rPr>
          <w:sz w:val="28"/>
          <w:szCs w:val="28"/>
          <w:u w:val="single"/>
        </w:rPr>
      </w:pPr>
    </w:p>
    <w:p w14:paraId="28FBDB85" w14:textId="77777777" w:rsidR="005E5237" w:rsidRPr="002B164B" w:rsidRDefault="005E5237" w:rsidP="00910DB5">
      <w:pPr>
        <w:pStyle w:val="ListParagraph"/>
        <w:widowControl/>
        <w:numPr>
          <w:ilvl w:val="0"/>
          <w:numId w:val="37"/>
        </w:numPr>
        <w:autoSpaceDE/>
        <w:autoSpaceDN/>
        <w:rPr>
          <w:rFonts w:eastAsia="Times New Roman"/>
          <w:sz w:val="24"/>
          <w:szCs w:val="24"/>
        </w:rPr>
      </w:pPr>
      <w:r w:rsidRPr="002B164B">
        <w:rPr>
          <w:rFonts w:eastAsia="Times New Roman"/>
          <w:sz w:val="24"/>
          <w:szCs w:val="24"/>
        </w:rPr>
        <w:t xml:space="preserve">This section of the report concentrates on the successes achieved during this reporting period. </w:t>
      </w:r>
    </w:p>
    <w:p w14:paraId="61214253" w14:textId="77777777" w:rsidR="005E5237" w:rsidRPr="002B164B" w:rsidRDefault="005E5237" w:rsidP="005E5237">
      <w:pPr>
        <w:pStyle w:val="ListParagraph"/>
        <w:widowControl/>
        <w:autoSpaceDE/>
        <w:autoSpaceDN/>
        <w:ind w:left="720" w:firstLine="0"/>
        <w:rPr>
          <w:rFonts w:eastAsia="Times New Roman"/>
          <w:sz w:val="24"/>
          <w:szCs w:val="24"/>
        </w:rPr>
      </w:pPr>
    </w:p>
    <w:p w14:paraId="53FA4F28" w14:textId="77777777" w:rsidR="005E5237" w:rsidRPr="002B164B" w:rsidRDefault="005E5237" w:rsidP="00910DB5">
      <w:pPr>
        <w:pStyle w:val="ListParagraph"/>
        <w:widowControl/>
        <w:numPr>
          <w:ilvl w:val="0"/>
          <w:numId w:val="37"/>
        </w:numPr>
        <w:autoSpaceDE/>
        <w:autoSpaceDN/>
        <w:rPr>
          <w:rFonts w:eastAsia="Times New Roman"/>
          <w:sz w:val="24"/>
          <w:szCs w:val="24"/>
        </w:rPr>
      </w:pPr>
      <w:r w:rsidRPr="002B164B">
        <w:rPr>
          <w:rFonts w:eastAsia="Times New Roman"/>
          <w:sz w:val="24"/>
          <w:szCs w:val="24"/>
        </w:rPr>
        <w:t xml:space="preserve">In connection with the OCC priority </w:t>
      </w:r>
      <w:r w:rsidRPr="002B164B">
        <w:rPr>
          <w:rFonts w:eastAsia="Times New Roman"/>
          <w:b/>
          <w:bCs/>
          <w:sz w:val="24"/>
          <w:szCs w:val="24"/>
        </w:rPr>
        <w:t>Put action to address the climate emergency at the heart of our work</w:t>
      </w:r>
      <w:r w:rsidRPr="002B164B">
        <w:rPr>
          <w:rFonts w:eastAsia="Times New Roman"/>
          <w:sz w:val="24"/>
          <w:szCs w:val="24"/>
        </w:rPr>
        <w:t xml:space="preserve"> on Saturday 16 July visitors to a west Oxfordshire household waste recycling centre were able pick up a preloved bargain.  FCC Environment, which runs Oxfordshire County Council’s Dix Pit Household Waste Recycling Centre, opened its first pop-up reuse shop for the day.</w:t>
      </w:r>
    </w:p>
    <w:p w14:paraId="44BB85AD" w14:textId="77777777" w:rsidR="005E5237" w:rsidRPr="002B164B" w:rsidRDefault="005E5237" w:rsidP="005E5237">
      <w:pPr>
        <w:pStyle w:val="ListParagraph"/>
        <w:rPr>
          <w:rFonts w:eastAsia="Times New Roman"/>
          <w:sz w:val="24"/>
          <w:szCs w:val="24"/>
        </w:rPr>
      </w:pPr>
    </w:p>
    <w:p w14:paraId="69041703" w14:textId="77777777" w:rsidR="005E5237" w:rsidRPr="002B164B" w:rsidRDefault="005E5237" w:rsidP="00910DB5">
      <w:pPr>
        <w:pStyle w:val="ListParagraph"/>
        <w:widowControl/>
        <w:numPr>
          <w:ilvl w:val="0"/>
          <w:numId w:val="37"/>
        </w:numPr>
        <w:autoSpaceDE/>
        <w:autoSpaceDN/>
        <w:rPr>
          <w:rFonts w:eastAsia="Times New Roman"/>
          <w:sz w:val="24"/>
          <w:szCs w:val="24"/>
        </w:rPr>
      </w:pPr>
      <w:r w:rsidRPr="002B164B">
        <w:rPr>
          <w:rFonts w:eastAsia="Times New Roman"/>
          <w:sz w:val="24"/>
          <w:szCs w:val="24"/>
        </w:rPr>
        <w:lastRenderedPageBreak/>
        <w:t>A new website offering practical advice for Oxfordshire people wanting to reduce their carbon footprint and save energy has gone live.  Climate Action Oxfordshire – </w:t>
      </w:r>
      <w:hyperlink r:id="rId9" w:history="1">
        <w:r w:rsidRPr="002B164B">
          <w:rPr>
            <w:rFonts w:eastAsia="Times New Roman"/>
            <w:sz w:val="24"/>
            <w:szCs w:val="24"/>
          </w:rPr>
          <w:t>www.climateactionoxfordshire.org.uk</w:t>
        </w:r>
      </w:hyperlink>
      <w:r w:rsidRPr="002B164B">
        <w:rPr>
          <w:rFonts w:eastAsia="Times New Roman"/>
          <w:sz w:val="24"/>
          <w:szCs w:val="24"/>
        </w:rPr>
        <w:t xml:space="preserve"> – lists measures people can take and rates them according to effort, impact, and cost. It also gives people an idea of what financial savings they can make and includes tips and links on how to get started.  It is a joint venture set up by Oxfordshire County Council, Oxford City Council, Cherwell, South Oxfordshire, West Oxfordshire, and the Vale of White Horse district councils, and </w:t>
      </w:r>
      <w:proofErr w:type="spellStart"/>
      <w:r w:rsidRPr="002B164B">
        <w:rPr>
          <w:rFonts w:eastAsia="Times New Roman"/>
          <w:sz w:val="24"/>
          <w:szCs w:val="24"/>
        </w:rPr>
        <w:t>OxLEP</w:t>
      </w:r>
      <w:proofErr w:type="spellEnd"/>
      <w:r w:rsidRPr="002B164B">
        <w:rPr>
          <w:rFonts w:eastAsia="Times New Roman"/>
          <w:sz w:val="24"/>
          <w:szCs w:val="24"/>
        </w:rPr>
        <w:t xml:space="preserve"> – the Oxfordshire Local Enterprise Partnership.</w:t>
      </w:r>
    </w:p>
    <w:p w14:paraId="5CF3ADC6" w14:textId="77777777" w:rsidR="005E5237" w:rsidRPr="002B164B" w:rsidRDefault="005E5237" w:rsidP="005E5237">
      <w:pPr>
        <w:pStyle w:val="ListParagraph"/>
        <w:widowControl/>
        <w:autoSpaceDE/>
        <w:autoSpaceDN/>
        <w:ind w:left="720" w:firstLine="0"/>
        <w:rPr>
          <w:sz w:val="24"/>
          <w:szCs w:val="24"/>
        </w:rPr>
      </w:pPr>
    </w:p>
    <w:p w14:paraId="0B5E5D0D" w14:textId="77777777" w:rsidR="005E5237" w:rsidRPr="002B164B" w:rsidRDefault="005E5237" w:rsidP="00910DB5">
      <w:pPr>
        <w:pStyle w:val="ListParagraph"/>
        <w:widowControl/>
        <w:numPr>
          <w:ilvl w:val="0"/>
          <w:numId w:val="37"/>
        </w:numPr>
        <w:autoSpaceDE/>
        <w:autoSpaceDN/>
        <w:jc w:val="left"/>
        <w:rPr>
          <w:rFonts w:eastAsia="Times New Roman"/>
          <w:sz w:val="24"/>
          <w:szCs w:val="24"/>
        </w:rPr>
      </w:pPr>
      <w:r w:rsidRPr="002B164B">
        <w:rPr>
          <w:rFonts w:eastAsia="Times New Roman"/>
          <w:sz w:val="24"/>
          <w:szCs w:val="24"/>
        </w:rPr>
        <w:t xml:space="preserve">While OCC remains committed to the global fight against climate change it hasn’t forgotten its responsibilities to the </w:t>
      </w:r>
      <w:r w:rsidRPr="002B164B">
        <w:rPr>
          <w:rFonts w:eastAsia="Times New Roman"/>
          <w:b/>
          <w:bCs/>
          <w:sz w:val="24"/>
          <w:szCs w:val="24"/>
        </w:rPr>
        <w:t xml:space="preserve">health and wellbeing of residents.   </w:t>
      </w:r>
      <w:r w:rsidRPr="002B164B">
        <w:rPr>
          <w:rFonts w:eastAsia="Times New Roman"/>
          <w:sz w:val="24"/>
          <w:szCs w:val="24"/>
        </w:rPr>
        <w:t>People across Oxfordshire who suffer disadvantages in terms of their access to the digital world will receive better support thanks to a new strategy put together by the county council with strong help from a wide variety of partner organisations.  During the COVID-19 pandemic, the county council and others became ever more acutely aware of the need for people from all ages and backgrounds to have access to digital services to lead a full and independent life.  The pandemic and the need for quick access to important information, booking COVID vaccination jabs online or even reporting a positive test brought a stark spotlight to these issues. The county council cabinet approved at its meeting on Tuesday, 19 July.</w:t>
      </w:r>
    </w:p>
    <w:p w14:paraId="3E246037" w14:textId="77777777" w:rsidR="005E5237" w:rsidRPr="002B164B" w:rsidRDefault="005E5237" w:rsidP="005E5237">
      <w:pPr>
        <w:pStyle w:val="ListParagraph"/>
        <w:widowControl/>
        <w:autoSpaceDE/>
        <w:autoSpaceDN/>
        <w:ind w:left="720" w:firstLine="0"/>
        <w:jc w:val="left"/>
        <w:rPr>
          <w:rFonts w:eastAsia="Times New Roman"/>
          <w:sz w:val="24"/>
          <w:szCs w:val="24"/>
        </w:rPr>
      </w:pPr>
    </w:p>
    <w:p w14:paraId="148BE311" w14:textId="77777777" w:rsidR="005E5237" w:rsidRPr="002B164B" w:rsidRDefault="005E5237" w:rsidP="00910DB5">
      <w:pPr>
        <w:pStyle w:val="ListParagraph"/>
        <w:widowControl/>
        <w:numPr>
          <w:ilvl w:val="0"/>
          <w:numId w:val="37"/>
        </w:numPr>
        <w:autoSpaceDE/>
        <w:autoSpaceDN/>
        <w:jc w:val="left"/>
        <w:rPr>
          <w:rFonts w:eastAsia="Times New Roman"/>
          <w:sz w:val="24"/>
          <w:szCs w:val="24"/>
        </w:rPr>
      </w:pPr>
      <w:r w:rsidRPr="002B164B">
        <w:rPr>
          <w:rFonts w:eastAsia="Times New Roman"/>
          <w:sz w:val="24"/>
          <w:szCs w:val="24"/>
        </w:rPr>
        <w:t>Oxfordshire firefighters have received praise from Her Majesty’s Inspectorate of Constabulary and Fire and Rescue Services (HMICFRS), following a recent inspection.  Inspectors assessed how effectively and efficiently the service prevents and protects the public against fires and how well it looks after staff.  The Inspectorate awarded Oxfordshire three ‘good’ ratings in its effectiveness, efficiency, and people categories.</w:t>
      </w:r>
    </w:p>
    <w:p w14:paraId="5592C8C8" w14:textId="77777777" w:rsidR="005E5237" w:rsidRPr="002B164B" w:rsidRDefault="005E5237" w:rsidP="005E5237">
      <w:pPr>
        <w:pStyle w:val="ListParagraph"/>
        <w:rPr>
          <w:sz w:val="24"/>
          <w:szCs w:val="24"/>
        </w:rPr>
      </w:pPr>
    </w:p>
    <w:p w14:paraId="7B2D970A" w14:textId="77777777" w:rsidR="005E5237" w:rsidRPr="002B164B" w:rsidRDefault="005E5237" w:rsidP="00910DB5">
      <w:pPr>
        <w:pStyle w:val="ListParagraph"/>
        <w:numPr>
          <w:ilvl w:val="0"/>
          <w:numId w:val="37"/>
        </w:numPr>
        <w:shd w:val="clear" w:color="auto" w:fill="FFFFFF"/>
        <w:spacing w:before="180" w:after="180"/>
        <w:rPr>
          <w:rFonts w:eastAsia="Times New Roman"/>
          <w:sz w:val="24"/>
          <w:szCs w:val="24"/>
          <w:lang w:eastAsia="en-GB"/>
        </w:rPr>
      </w:pPr>
      <w:r w:rsidRPr="002B164B">
        <w:rPr>
          <w:rFonts w:eastAsia="Times New Roman"/>
          <w:sz w:val="24"/>
          <w:szCs w:val="24"/>
          <w:lang w:eastAsia="en-GB"/>
        </w:rPr>
        <w:t>Residents are being encouraged to avoid fire risk spoiling a good night’s sleep by taking advantage of free electric blanket safety checks from Oxfordshire County Council’s trading standards team.   </w:t>
      </w:r>
    </w:p>
    <w:p w14:paraId="1F085A8A" w14:textId="77777777" w:rsidR="005E5237" w:rsidRPr="002B164B" w:rsidRDefault="005E5237" w:rsidP="005E5237">
      <w:pPr>
        <w:pStyle w:val="ListParagraph"/>
        <w:shd w:val="clear" w:color="auto" w:fill="FFFFFF"/>
        <w:spacing w:before="180" w:after="180"/>
        <w:ind w:left="720" w:firstLine="0"/>
        <w:jc w:val="left"/>
        <w:rPr>
          <w:rFonts w:eastAsia="Times New Roman"/>
          <w:sz w:val="24"/>
          <w:szCs w:val="24"/>
          <w:lang w:eastAsia="en-GB"/>
        </w:rPr>
      </w:pPr>
      <w:r w:rsidRPr="002B164B">
        <w:rPr>
          <w:rFonts w:eastAsia="Times New Roman"/>
          <w:sz w:val="24"/>
          <w:szCs w:val="24"/>
          <w:lang w:eastAsia="en-GB"/>
        </w:rPr>
        <w:t>There will be free refreshments available at the pre-bookable events in:</w:t>
      </w:r>
      <w:r w:rsidRPr="002B164B">
        <w:rPr>
          <w:rFonts w:eastAsia="Times New Roman"/>
          <w:sz w:val="24"/>
          <w:szCs w:val="24"/>
          <w:lang w:eastAsia="en-GB"/>
        </w:rPr>
        <w:br/>
      </w:r>
      <w:r w:rsidRPr="002B164B">
        <w:rPr>
          <w:rFonts w:eastAsia="Times New Roman"/>
          <w:b/>
          <w:bCs/>
          <w:sz w:val="24"/>
          <w:szCs w:val="24"/>
          <w:lang w:eastAsia="en-GB"/>
        </w:rPr>
        <w:t>Oxford</w:t>
      </w:r>
      <w:r w:rsidRPr="002B164B">
        <w:rPr>
          <w:rFonts w:eastAsia="Times New Roman"/>
          <w:sz w:val="24"/>
          <w:szCs w:val="24"/>
          <w:lang w:eastAsia="en-GB"/>
        </w:rPr>
        <w:t>, Monday 19 September</w:t>
      </w:r>
      <w:r w:rsidRPr="002B164B">
        <w:rPr>
          <w:rFonts w:eastAsia="Times New Roman"/>
          <w:sz w:val="24"/>
          <w:szCs w:val="24"/>
          <w:lang w:eastAsia="en-GB"/>
        </w:rPr>
        <w:br/>
      </w:r>
      <w:r w:rsidRPr="002B164B">
        <w:rPr>
          <w:rFonts w:eastAsia="Times New Roman"/>
          <w:b/>
          <w:bCs/>
          <w:sz w:val="24"/>
          <w:szCs w:val="24"/>
          <w:lang w:eastAsia="en-GB"/>
        </w:rPr>
        <w:t>South Oxfordshire</w:t>
      </w:r>
      <w:r w:rsidRPr="002B164B">
        <w:rPr>
          <w:rFonts w:eastAsia="Times New Roman"/>
          <w:sz w:val="24"/>
          <w:szCs w:val="24"/>
          <w:lang w:eastAsia="en-GB"/>
        </w:rPr>
        <w:t>, Tuesday 20 September</w:t>
      </w:r>
      <w:r w:rsidRPr="002B164B">
        <w:rPr>
          <w:rFonts w:eastAsia="Times New Roman"/>
          <w:sz w:val="24"/>
          <w:szCs w:val="24"/>
          <w:lang w:eastAsia="en-GB"/>
        </w:rPr>
        <w:br/>
      </w:r>
      <w:r w:rsidRPr="002B164B">
        <w:rPr>
          <w:rFonts w:eastAsia="Times New Roman"/>
          <w:b/>
          <w:bCs/>
          <w:sz w:val="24"/>
          <w:szCs w:val="24"/>
          <w:lang w:eastAsia="en-GB"/>
        </w:rPr>
        <w:t>Cherwell</w:t>
      </w:r>
      <w:r w:rsidRPr="002B164B">
        <w:rPr>
          <w:rFonts w:eastAsia="Times New Roman"/>
          <w:sz w:val="24"/>
          <w:szCs w:val="24"/>
          <w:lang w:eastAsia="en-GB"/>
        </w:rPr>
        <w:t>, Wednesday, 21 September</w:t>
      </w:r>
      <w:r w:rsidRPr="002B164B">
        <w:rPr>
          <w:rFonts w:eastAsia="Times New Roman"/>
          <w:sz w:val="24"/>
          <w:szCs w:val="24"/>
          <w:lang w:eastAsia="en-GB"/>
        </w:rPr>
        <w:br/>
      </w:r>
      <w:r w:rsidRPr="002B164B">
        <w:rPr>
          <w:rFonts w:eastAsia="Times New Roman"/>
          <w:b/>
          <w:bCs/>
          <w:sz w:val="24"/>
          <w:szCs w:val="24"/>
          <w:lang w:eastAsia="en-GB"/>
        </w:rPr>
        <w:t>West Oxfordshire</w:t>
      </w:r>
      <w:r w:rsidRPr="002B164B">
        <w:rPr>
          <w:rFonts w:eastAsia="Times New Roman"/>
          <w:sz w:val="24"/>
          <w:szCs w:val="24"/>
          <w:lang w:eastAsia="en-GB"/>
        </w:rPr>
        <w:t>, Thursday, 22 September</w:t>
      </w:r>
      <w:r w:rsidRPr="002B164B">
        <w:rPr>
          <w:rFonts w:eastAsia="Times New Roman"/>
          <w:sz w:val="24"/>
          <w:szCs w:val="24"/>
          <w:lang w:eastAsia="en-GB"/>
        </w:rPr>
        <w:br/>
      </w:r>
      <w:r w:rsidRPr="002B164B">
        <w:rPr>
          <w:rFonts w:eastAsia="Times New Roman"/>
          <w:b/>
          <w:bCs/>
          <w:sz w:val="24"/>
          <w:szCs w:val="24"/>
          <w:lang w:eastAsia="en-GB"/>
        </w:rPr>
        <w:t>Vale of White Horse</w:t>
      </w:r>
      <w:r w:rsidRPr="002B164B">
        <w:rPr>
          <w:rFonts w:eastAsia="Times New Roman"/>
          <w:sz w:val="24"/>
          <w:szCs w:val="24"/>
          <w:lang w:eastAsia="en-GB"/>
        </w:rPr>
        <w:t>, Friday, 23 September</w:t>
      </w:r>
      <w:r w:rsidRPr="002B164B">
        <w:rPr>
          <w:rFonts w:eastAsia="Times New Roman"/>
          <w:sz w:val="24"/>
          <w:szCs w:val="24"/>
          <w:lang w:eastAsia="en-GB"/>
        </w:rPr>
        <w:br/>
        <w:t>For those who are unable to travel, arrangements can be made to collect electric blankets from residents’ homes between 3 – 7</w:t>
      </w:r>
      <w:r w:rsidRPr="002B164B">
        <w:rPr>
          <w:rFonts w:eastAsia="Times New Roman"/>
          <w:sz w:val="24"/>
          <w:szCs w:val="24"/>
          <w:vertAlign w:val="superscript"/>
          <w:lang w:eastAsia="en-GB"/>
        </w:rPr>
        <w:t>th</w:t>
      </w:r>
      <w:r w:rsidRPr="002B164B">
        <w:rPr>
          <w:rFonts w:eastAsia="Times New Roman"/>
          <w:sz w:val="24"/>
          <w:szCs w:val="24"/>
          <w:lang w:eastAsia="en-GB"/>
        </w:rPr>
        <w:t xml:space="preserve"> October</w:t>
      </w:r>
      <w:r w:rsidRPr="002B164B">
        <w:rPr>
          <w:rFonts w:eastAsia="Times New Roman"/>
          <w:b/>
          <w:bCs/>
          <w:sz w:val="24"/>
          <w:szCs w:val="24"/>
          <w:lang w:eastAsia="en-GB"/>
        </w:rPr>
        <w:t>.</w:t>
      </w:r>
    </w:p>
    <w:p w14:paraId="1E861602" w14:textId="77777777" w:rsidR="005E5237" w:rsidRPr="002B164B" w:rsidRDefault="005E5237" w:rsidP="005E5237">
      <w:pPr>
        <w:pStyle w:val="ListParagraph"/>
        <w:rPr>
          <w:b/>
          <w:bCs/>
          <w:sz w:val="24"/>
          <w:szCs w:val="24"/>
        </w:rPr>
      </w:pPr>
    </w:p>
    <w:p w14:paraId="19071535" w14:textId="77777777" w:rsidR="005E5237" w:rsidRPr="002B164B" w:rsidRDefault="005E5237" w:rsidP="00910DB5">
      <w:pPr>
        <w:pStyle w:val="ListParagraph"/>
        <w:widowControl/>
        <w:numPr>
          <w:ilvl w:val="0"/>
          <w:numId w:val="37"/>
        </w:numPr>
        <w:autoSpaceDE/>
        <w:autoSpaceDN/>
        <w:rPr>
          <w:rFonts w:eastAsia="Times New Roman"/>
          <w:sz w:val="24"/>
          <w:szCs w:val="24"/>
        </w:rPr>
      </w:pPr>
      <w:r w:rsidRPr="002B164B">
        <w:rPr>
          <w:b/>
          <w:bCs/>
          <w:sz w:val="24"/>
          <w:szCs w:val="24"/>
        </w:rPr>
        <w:t>Support carers and the social care system,</w:t>
      </w:r>
      <w:r w:rsidRPr="002B164B">
        <w:rPr>
          <w:sz w:val="24"/>
          <w:szCs w:val="24"/>
        </w:rPr>
        <w:t xml:space="preserve"> this is particularly true when the cost of living is increasing. OCC and The Care Workers’ Charity have partnered to provide grants to care workers in need working or living in the Oxfordshire area. We have also provided funding to enable eligible care providers to reimburse the cost of the Blue Light Card to their employees. This will be administered by the Care Workers’ Charity.  People who have supported people with care needs by </w:t>
      </w:r>
      <w:r w:rsidRPr="002B164B">
        <w:rPr>
          <w:sz w:val="24"/>
          <w:szCs w:val="24"/>
        </w:rPr>
        <w:lastRenderedPageBreak/>
        <w:t>sharing their homes were given recognition at the recent Oxfordshire Association of Care Providers (OACP) Awards. The Oxfordshire Shared Lives programme, operated by OCC, places people in a home setting, where care is provided by a family who share their lives with that person</w:t>
      </w:r>
    </w:p>
    <w:p w14:paraId="3FC55ADC" w14:textId="77777777" w:rsidR="005E5237" w:rsidRPr="002B164B" w:rsidRDefault="005E5237" w:rsidP="005E5237">
      <w:pPr>
        <w:pStyle w:val="ListParagraph"/>
        <w:rPr>
          <w:b/>
          <w:bCs/>
          <w:sz w:val="24"/>
          <w:szCs w:val="24"/>
        </w:rPr>
      </w:pPr>
    </w:p>
    <w:p w14:paraId="113B8424" w14:textId="77777777" w:rsidR="005E5237" w:rsidRPr="002B164B" w:rsidRDefault="005E5237" w:rsidP="00910DB5">
      <w:pPr>
        <w:pStyle w:val="ListParagraph"/>
        <w:widowControl/>
        <w:numPr>
          <w:ilvl w:val="0"/>
          <w:numId w:val="37"/>
        </w:numPr>
        <w:autoSpaceDE/>
        <w:autoSpaceDN/>
        <w:jc w:val="left"/>
        <w:rPr>
          <w:rFonts w:eastAsia="Times New Roman"/>
          <w:sz w:val="24"/>
          <w:szCs w:val="24"/>
        </w:rPr>
      </w:pPr>
      <w:r w:rsidRPr="002B164B">
        <w:rPr>
          <w:sz w:val="24"/>
          <w:szCs w:val="24"/>
        </w:rPr>
        <w:t>In relation to</w:t>
      </w:r>
      <w:r w:rsidRPr="002B164B">
        <w:rPr>
          <w:b/>
          <w:bCs/>
          <w:sz w:val="24"/>
          <w:szCs w:val="24"/>
        </w:rPr>
        <w:t xml:space="preserve"> Invest in an inclusive, </w:t>
      </w:r>
      <w:proofErr w:type="gramStart"/>
      <w:r w:rsidRPr="002B164B">
        <w:rPr>
          <w:b/>
          <w:bCs/>
          <w:sz w:val="24"/>
          <w:szCs w:val="24"/>
        </w:rPr>
        <w:t>integrated</w:t>
      </w:r>
      <w:proofErr w:type="gramEnd"/>
      <w:r w:rsidRPr="002B164B">
        <w:rPr>
          <w:b/>
          <w:bCs/>
          <w:sz w:val="24"/>
          <w:szCs w:val="24"/>
        </w:rPr>
        <w:t xml:space="preserve"> and sustainable transport network</w:t>
      </w:r>
      <w:r w:rsidRPr="002B164B">
        <w:rPr>
          <w:sz w:val="24"/>
          <w:szCs w:val="24"/>
        </w:rPr>
        <w:t xml:space="preserve"> </w:t>
      </w:r>
      <w:r w:rsidRPr="002B164B">
        <w:rPr>
          <w:rFonts w:eastAsia="Times New Roman"/>
          <w:sz w:val="24"/>
          <w:szCs w:val="24"/>
        </w:rPr>
        <w:t>Oxfordshire’s inaugural bus summit has been hailed a success after bringing together a host of organisations to discuss how to improve public transport in the county.</w:t>
      </w:r>
    </w:p>
    <w:p w14:paraId="334900DE" w14:textId="77777777" w:rsidR="005E5237" w:rsidRPr="002B164B" w:rsidRDefault="005E5237" w:rsidP="005E5237">
      <w:pPr>
        <w:pStyle w:val="ListParagraph"/>
        <w:widowControl/>
        <w:autoSpaceDE/>
        <w:autoSpaceDN/>
        <w:ind w:left="720" w:firstLine="0"/>
        <w:jc w:val="left"/>
        <w:rPr>
          <w:rFonts w:eastAsia="Times New Roman"/>
          <w:sz w:val="24"/>
          <w:szCs w:val="24"/>
        </w:rPr>
      </w:pPr>
      <w:r w:rsidRPr="002B164B">
        <w:rPr>
          <w:rFonts w:eastAsia="Times New Roman"/>
          <w:sz w:val="24"/>
          <w:szCs w:val="24"/>
        </w:rPr>
        <w:t xml:space="preserve">Representatives from Oxfordshire County Council, city and district councils, Oxford Bus Company, Stagecoach, bus user groups, health services, employers and the city’s universities attended the event at the Said Business School on Friday 24 June. </w:t>
      </w:r>
    </w:p>
    <w:p w14:paraId="12B30970" w14:textId="77777777" w:rsidR="005E5237" w:rsidRPr="002B164B" w:rsidRDefault="005E5237" w:rsidP="005E5237">
      <w:pPr>
        <w:pStyle w:val="ListParagraph"/>
        <w:widowControl/>
        <w:autoSpaceDE/>
        <w:autoSpaceDN/>
        <w:ind w:left="720" w:firstLine="0"/>
        <w:jc w:val="left"/>
        <w:rPr>
          <w:rFonts w:eastAsia="Times New Roman"/>
          <w:sz w:val="24"/>
          <w:szCs w:val="24"/>
        </w:rPr>
      </w:pPr>
      <w:r w:rsidRPr="002B164B">
        <w:rPr>
          <w:rFonts w:eastAsia="Times New Roman"/>
          <w:sz w:val="24"/>
          <w:szCs w:val="24"/>
        </w:rPr>
        <w:t xml:space="preserve">Issues up for discussion included fares, ticketing options, coverage, </w:t>
      </w:r>
      <w:proofErr w:type="gramStart"/>
      <w:r w:rsidRPr="002B164B">
        <w:rPr>
          <w:rFonts w:eastAsia="Times New Roman"/>
          <w:sz w:val="24"/>
          <w:szCs w:val="24"/>
        </w:rPr>
        <w:t>accessibility</w:t>
      </w:r>
      <w:proofErr w:type="gramEnd"/>
      <w:r w:rsidRPr="002B164B">
        <w:rPr>
          <w:rFonts w:eastAsia="Times New Roman"/>
          <w:sz w:val="24"/>
          <w:szCs w:val="24"/>
        </w:rPr>
        <w:t xml:space="preserve"> and ease of understanding of the bus network, journey speeds and reliability, image and public opinion. Industry experts were in attendance, while the audience included representatives from disability and young people’s groups.</w:t>
      </w:r>
    </w:p>
    <w:p w14:paraId="797DB76B" w14:textId="77777777" w:rsidR="005E5237" w:rsidRPr="002B164B" w:rsidRDefault="005E5237" w:rsidP="00910DB5">
      <w:pPr>
        <w:pStyle w:val="NormalWeb"/>
        <w:numPr>
          <w:ilvl w:val="0"/>
          <w:numId w:val="37"/>
        </w:numPr>
        <w:shd w:val="clear" w:color="auto" w:fill="FFFFFF"/>
        <w:spacing w:before="180" w:beforeAutospacing="0" w:after="180" w:afterAutospacing="0"/>
        <w:rPr>
          <w:rFonts w:ascii="Arial" w:hAnsi="Arial" w:cs="Arial"/>
          <w:color w:val="0B0C0C"/>
        </w:rPr>
      </w:pPr>
      <w:r w:rsidRPr="002B164B">
        <w:rPr>
          <w:rFonts w:ascii="Arial" w:hAnsi="Arial" w:cs="Arial"/>
          <w:color w:val="0B0C0C"/>
        </w:rPr>
        <w:t xml:space="preserve">Championed by Oxfordshire County Council, and supported by </w:t>
      </w:r>
      <w:proofErr w:type="spellStart"/>
      <w:r w:rsidRPr="002B164B">
        <w:rPr>
          <w:rFonts w:ascii="Arial" w:hAnsi="Arial" w:cs="Arial"/>
          <w:color w:val="0B0C0C"/>
        </w:rPr>
        <w:t>Sustrans</w:t>
      </w:r>
      <w:proofErr w:type="spellEnd"/>
      <w:r w:rsidRPr="002B164B">
        <w:rPr>
          <w:rFonts w:ascii="Arial" w:hAnsi="Arial" w:cs="Arial"/>
          <w:color w:val="0B0C0C"/>
        </w:rPr>
        <w:t>, the school streets programme initially ran as a trial with nine schools last year under an experimental trial regulation order (ETRO). Following some great results from the trial, four of the participating schools now wish to make the school streets programme permanent from September 2022. </w:t>
      </w:r>
    </w:p>
    <w:p w14:paraId="66F28ABD" w14:textId="77777777" w:rsidR="005E5237" w:rsidRPr="002B164B" w:rsidRDefault="005E5237" w:rsidP="00910DB5">
      <w:pPr>
        <w:pStyle w:val="NormalWeb"/>
        <w:numPr>
          <w:ilvl w:val="0"/>
          <w:numId w:val="37"/>
        </w:numPr>
        <w:shd w:val="clear" w:color="auto" w:fill="FFFFFF"/>
        <w:spacing w:before="180" w:beforeAutospacing="0" w:after="180" w:afterAutospacing="0"/>
        <w:rPr>
          <w:rFonts w:ascii="Arial" w:hAnsi="Arial" w:cs="Arial"/>
          <w:color w:val="0B0C0C"/>
        </w:rPr>
      </w:pPr>
      <w:r w:rsidRPr="002B164B">
        <w:rPr>
          <w:rFonts w:ascii="Arial" w:hAnsi="Arial" w:cs="Arial"/>
          <w:color w:val="0B0C0C"/>
        </w:rPr>
        <w:t xml:space="preserve">Three low traffic neighbourhoods (LTNs) in the Cowley area of Oxford are to stay in place, Oxfordshire County Council has decided.  The decision was made by the county council’s cabinet at a meeting today (Tuesday, 19 July), and follows an </w:t>
      </w:r>
      <w:proofErr w:type="gramStart"/>
      <w:r w:rsidRPr="002B164B">
        <w:rPr>
          <w:rFonts w:ascii="Arial" w:hAnsi="Arial" w:cs="Arial"/>
          <w:color w:val="0B0C0C"/>
        </w:rPr>
        <w:t>18 month</w:t>
      </w:r>
      <w:proofErr w:type="gramEnd"/>
      <w:r w:rsidRPr="002B164B">
        <w:rPr>
          <w:rFonts w:ascii="Arial" w:hAnsi="Arial" w:cs="Arial"/>
          <w:color w:val="0B0C0C"/>
        </w:rPr>
        <w:t xml:space="preserve"> long trial.</w:t>
      </w:r>
    </w:p>
    <w:p w14:paraId="01C17311" w14:textId="77777777" w:rsidR="005E5237" w:rsidRPr="002B164B" w:rsidRDefault="005E5237" w:rsidP="00910DB5">
      <w:pPr>
        <w:pStyle w:val="NormalWeb"/>
        <w:numPr>
          <w:ilvl w:val="0"/>
          <w:numId w:val="37"/>
        </w:numPr>
        <w:shd w:val="clear" w:color="auto" w:fill="FFFFFF"/>
        <w:spacing w:before="180" w:beforeAutospacing="0" w:after="180" w:afterAutospacing="0"/>
        <w:rPr>
          <w:rFonts w:ascii="Arial" w:hAnsi="Arial" w:cs="Arial"/>
          <w:color w:val="0B0C0C"/>
        </w:rPr>
      </w:pPr>
      <w:r w:rsidRPr="002B164B">
        <w:rPr>
          <w:rFonts w:ascii="Arial" w:hAnsi="Arial" w:cs="Arial"/>
          <w:color w:val="0B0C0C"/>
        </w:rPr>
        <w:t>Cabinet also committed to undertake additional community and stakeholder engagement to further refine the scheme, with any changes to be implemented by spring 2023. The council will also continue to monitor all aspects of the measures and bring forward proposals for changes through the consultation process, including the potential to replace some hard closures with automatic number plate recognition (ANPR) cameras.</w:t>
      </w:r>
    </w:p>
    <w:p w14:paraId="7568170F" w14:textId="77777777" w:rsidR="005E5237" w:rsidRPr="002B164B" w:rsidRDefault="005E5237" w:rsidP="00910DB5">
      <w:pPr>
        <w:pStyle w:val="NormalWeb"/>
        <w:numPr>
          <w:ilvl w:val="0"/>
          <w:numId w:val="37"/>
        </w:numPr>
        <w:shd w:val="clear" w:color="auto" w:fill="FFFFFF"/>
        <w:spacing w:before="180" w:beforeAutospacing="0" w:after="180" w:afterAutospacing="0"/>
        <w:rPr>
          <w:rFonts w:ascii="Arial" w:hAnsi="Arial" w:cs="Arial"/>
          <w:color w:val="0B0C0C"/>
        </w:rPr>
      </w:pPr>
      <w:r w:rsidRPr="002B164B">
        <w:rPr>
          <w:rFonts w:ascii="Arial" w:hAnsi="Arial" w:cs="Arial"/>
          <w:color w:val="0B0C0C"/>
        </w:rPr>
        <w:t>The decision follows engagement with residents, businesses, emergency services and other interested parties throughout the trial period, with the council making some changes to the scheme based on feedback received. Members of the public were also able to comment on the scheme through a formal consultation that ran from March to November 2021.</w:t>
      </w:r>
    </w:p>
    <w:p w14:paraId="35498A05" w14:textId="77777777" w:rsidR="005E5237" w:rsidRPr="002B164B" w:rsidRDefault="005E5237" w:rsidP="00910DB5">
      <w:pPr>
        <w:pStyle w:val="ListParagraph"/>
        <w:numPr>
          <w:ilvl w:val="0"/>
          <w:numId w:val="37"/>
        </w:numPr>
        <w:shd w:val="clear" w:color="auto" w:fill="FFFFFF"/>
        <w:spacing w:before="180" w:after="180"/>
        <w:rPr>
          <w:rFonts w:eastAsia="Times New Roman"/>
          <w:color w:val="0B0C0C"/>
          <w:sz w:val="24"/>
          <w:szCs w:val="24"/>
          <w:lang w:eastAsia="en-GB"/>
        </w:rPr>
      </w:pPr>
      <w:r w:rsidRPr="002B164B">
        <w:rPr>
          <w:rFonts w:eastAsia="Times New Roman"/>
          <w:color w:val="0B0C0C"/>
          <w:sz w:val="24"/>
          <w:szCs w:val="24"/>
          <w:lang w:eastAsia="en-GB"/>
        </w:rPr>
        <w:t>Oxfordshire County Council has reached a major milestone in the development of the A40 Oxford North scheme, as all traffic restrictions are lifted.  The project’s new traffic light-controlled crossings are fully operational, and the new eastbound bus lane and shared cycling and walking paths are open. Extensive landscaping, including tree planting, has also been undertaken in the central reservation, new crossings and lighting improvements delivered, and a reduced 30mph speed limit introduced.</w:t>
      </w:r>
    </w:p>
    <w:p w14:paraId="6140BE0D" w14:textId="77777777" w:rsidR="005E5237" w:rsidRPr="002B164B" w:rsidRDefault="005E5237" w:rsidP="005E5237">
      <w:pPr>
        <w:pStyle w:val="ListParagraph"/>
        <w:widowControl/>
        <w:autoSpaceDE/>
        <w:autoSpaceDN/>
        <w:ind w:left="720" w:firstLine="0"/>
        <w:rPr>
          <w:sz w:val="24"/>
          <w:szCs w:val="24"/>
        </w:rPr>
      </w:pPr>
    </w:p>
    <w:p w14:paraId="0BC7E991" w14:textId="77777777" w:rsidR="005E5237" w:rsidRPr="002B164B" w:rsidRDefault="005E5237" w:rsidP="00910DB5">
      <w:pPr>
        <w:pStyle w:val="ListParagraph"/>
        <w:widowControl/>
        <w:numPr>
          <w:ilvl w:val="0"/>
          <w:numId w:val="37"/>
        </w:numPr>
        <w:autoSpaceDE/>
        <w:autoSpaceDN/>
        <w:rPr>
          <w:sz w:val="24"/>
          <w:szCs w:val="24"/>
        </w:rPr>
      </w:pPr>
      <w:r w:rsidRPr="002B164B">
        <w:rPr>
          <w:sz w:val="24"/>
          <w:szCs w:val="24"/>
        </w:rPr>
        <w:lastRenderedPageBreak/>
        <w:t>To help</w:t>
      </w:r>
      <w:r w:rsidRPr="002B164B">
        <w:rPr>
          <w:b/>
          <w:bCs/>
          <w:sz w:val="24"/>
          <w:szCs w:val="24"/>
        </w:rPr>
        <w:t xml:space="preserve"> Preserve and improve access to nature and green spaces </w:t>
      </w:r>
      <w:r w:rsidRPr="002B164B">
        <w:rPr>
          <w:sz w:val="24"/>
          <w:szCs w:val="24"/>
        </w:rPr>
        <w:t xml:space="preserve">Oxford’s city centre will soon welcome back more open social space with a decision to temporarily partly </w:t>
      </w:r>
      <w:proofErr w:type="spellStart"/>
      <w:r w:rsidRPr="002B164B">
        <w:rPr>
          <w:sz w:val="24"/>
          <w:szCs w:val="24"/>
        </w:rPr>
        <w:t>pedestrianise</w:t>
      </w:r>
      <w:proofErr w:type="spellEnd"/>
      <w:r w:rsidRPr="002B164B">
        <w:rPr>
          <w:sz w:val="24"/>
          <w:szCs w:val="24"/>
        </w:rPr>
        <w:t xml:space="preserve"> Broad Street.  The approval for an experimental traffic regulation order (ETRO) for a temporary public realm scheme of the street was given on Thursday 21 July, as part of a delegated decision meeting for highways management.</w:t>
      </w:r>
    </w:p>
    <w:p w14:paraId="0F582849" w14:textId="77777777" w:rsidR="005E5237" w:rsidRPr="002B164B" w:rsidRDefault="005E5237" w:rsidP="005E5237">
      <w:pPr>
        <w:pStyle w:val="ListParagraph"/>
        <w:rPr>
          <w:sz w:val="24"/>
          <w:szCs w:val="24"/>
        </w:rPr>
      </w:pPr>
    </w:p>
    <w:p w14:paraId="440E2C5F" w14:textId="77777777" w:rsidR="005E5237" w:rsidRPr="002B164B" w:rsidRDefault="005E5237" w:rsidP="00910DB5">
      <w:pPr>
        <w:pStyle w:val="ListParagraph"/>
        <w:widowControl/>
        <w:numPr>
          <w:ilvl w:val="0"/>
          <w:numId w:val="37"/>
        </w:numPr>
        <w:autoSpaceDE/>
        <w:autoSpaceDN/>
        <w:rPr>
          <w:sz w:val="24"/>
          <w:szCs w:val="24"/>
        </w:rPr>
      </w:pPr>
      <w:r w:rsidRPr="002B164B">
        <w:rPr>
          <w:sz w:val="24"/>
          <w:szCs w:val="24"/>
        </w:rPr>
        <w:t xml:space="preserve">Last year, Oxford City Council transformed the western part of Broad Street into an outdoor space - which contained wildflower meadows, </w:t>
      </w:r>
      <w:proofErr w:type="gramStart"/>
      <w:r w:rsidRPr="002B164B">
        <w:rPr>
          <w:sz w:val="24"/>
          <w:szCs w:val="24"/>
        </w:rPr>
        <w:t>lawns</w:t>
      </w:r>
      <w:proofErr w:type="gramEnd"/>
      <w:r w:rsidRPr="002B164B">
        <w:rPr>
          <w:sz w:val="24"/>
          <w:szCs w:val="24"/>
        </w:rPr>
        <w:t xml:space="preserve"> and seating - called Broad Meadow during the pandemic. The meadow enjoyed more than 100,000 visitors between July and October. Around 90 per cent of people responding to a city council consultation on Broad Meadow said they would like to see this happen again. The wealth of positive feedback has helped to inspire the county council’s plan for a new, longer trial of 18 months, covering a larger area of Broad Street. While there will be traffic restrictions, buses and cycles will have access and the scheme will include several disabled parking bays. </w:t>
      </w:r>
    </w:p>
    <w:p w14:paraId="6EC906A9" w14:textId="77777777" w:rsidR="005E5237" w:rsidRPr="002B164B" w:rsidRDefault="005E5237" w:rsidP="005E5237">
      <w:pPr>
        <w:widowControl/>
        <w:autoSpaceDE/>
        <w:autoSpaceDN/>
        <w:rPr>
          <w:sz w:val="24"/>
          <w:szCs w:val="24"/>
        </w:rPr>
      </w:pPr>
    </w:p>
    <w:p w14:paraId="31116C8B" w14:textId="77777777" w:rsidR="005E5237" w:rsidRPr="002B164B" w:rsidRDefault="005E5237" w:rsidP="00910DB5">
      <w:pPr>
        <w:pStyle w:val="ListParagraph"/>
        <w:widowControl/>
        <w:numPr>
          <w:ilvl w:val="0"/>
          <w:numId w:val="37"/>
        </w:numPr>
        <w:autoSpaceDE/>
        <w:autoSpaceDN/>
        <w:rPr>
          <w:sz w:val="24"/>
          <w:szCs w:val="24"/>
        </w:rPr>
      </w:pPr>
      <w:r w:rsidRPr="002B164B">
        <w:rPr>
          <w:sz w:val="24"/>
          <w:szCs w:val="24"/>
        </w:rPr>
        <w:t xml:space="preserve">The preliminary designs have already been shared on the county council’s website and are subject to final changes. For this, the county council engaged with over 150 stakeholder representatives through holding briefing sessions, </w:t>
      </w:r>
      <w:proofErr w:type="gramStart"/>
      <w:r w:rsidRPr="002B164B">
        <w:rPr>
          <w:sz w:val="24"/>
          <w:szCs w:val="24"/>
        </w:rPr>
        <w:t>workshops</w:t>
      </w:r>
      <w:proofErr w:type="gramEnd"/>
      <w:r w:rsidRPr="002B164B">
        <w:rPr>
          <w:sz w:val="24"/>
          <w:szCs w:val="24"/>
        </w:rPr>
        <w:t xml:space="preserve"> and site visits. Key stakeholders that took part included Oxford City Council officers and councillors, bus operators, Historic England, Oxford Preservation Trust, local businesses, emergency services, Oxford University colleges, </w:t>
      </w:r>
      <w:hyperlink r:id="rId10" w:tgtFrame="_blank" w:history="1">
        <w:r w:rsidRPr="002B164B">
          <w:rPr>
            <w:sz w:val="24"/>
            <w:szCs w:val="24"/>
          </w:rPr>
          <w:t>Oxford Civic Society</w:t>
        </w:r>
      </w:hyperlink>
      <w:r w:rsidRPr="002B164B">
        <w:rPr>
          <w:sz w:val="24"/>
          <w:szCs w:val="24"/>
        </w:rPr>
        <w:t xml:space="preserve">, </w:t>
      </w:r>
      <w:hyperlink r:id="rId11" w:tgtFrame="_blank" w:history="1">
        <w:proofErr w:type="spellStart"/>
        <w:r w:rsidRPr="002B164B">
          <w:rPr>
            <w:sz w:val="24"/>
            <w:szCs w:val="24"/>
          </w:rPr>
          <w:t>Cyclox</w:t>
        </w:r>
        <w:proofErr w:type="spellEnd"/>
      </w:hyperlink>
      <w:r w:rsidRPr="002B164B">
        <w:rPr>
          <w:sz w:val="24"/>
          <w:szCs w:val="24"/>
        </w:rPr>
        <w:t xml:space="preserve">, </w:t>
      </w:r>
      <w:hyperlink r:id="rId12" w:tgtFrame="_blank" w:history="1">
        <w:r w:rsidRPr="002B164B">
          <w:rPr>
            <w:sz w:val="24"/>
            <w:szCs w:val="24"/>
          </w:rPr>
          <w:t>COHSAT</w:t>
        </w:r>
      </w:hyperlink>
      <w:r w:rsidRPr="002B164B">
        <w:rPr>
          <w:sz w:val="24"/>
          <w:szCs w:val="24"/>
        </w:rPr>
        <w:t xml:space="preserve"> (Coalition for Healthy Streets and Active Travel), the City Council’s </w:t>
      </w:r>
      <w:hyperlink r:id="rId13" w:tgtFrame="_blank" w:history="1">
        <w:r w:rsidRPr="002B164B">
          <w:rPr>
            <w:sz w:val="24"/>
            <w:szCs w:val="24"/>
          </w:rPr>
          <w:t>Inclusive Transport</w:t>
        </w:r>
      </w:hyperlink>
      <w:r w:rsidRPr="002B164B">
        <w:rPr>
          <w:sz w:val="24"/>
          <w:szCs w:val="24"/>
        </w:rPr>
        <w:t> &amp; Movement Focus Group and various other interest groups and advocacy groups.</w:t>
      </w:r>
    </w:p>
    <w:p w14:paraId="047DE0C0" w14:textId="77777777" w:rsidR="005E5237" w:rsidRPr="002B164B" w:rsidRDefault="005E5237" w:rsidP="005E5237">
      <w:pPr>
        <w:widowControl/>
        <w:autoSpaceDE/>
        <w:autoSpaceDN/>
        <w:rPr>
          <w:sz w:val="24"/>
          <w:szCs w:val="24"/>
        </w:rPr>
      </w:pPr>
    </w:p>
    <w:p w14:paraId="6C23C777" w14:textId="77777777" w:rsidR="005E5237" w:rsidRPr="002B164B" w:rsidRDefault="005E5237" w:rsidP="00910DB5">
      <w:pPr>
        <w:pStyle w:val="ListParagraph"/>
        <w:widowControl/>
        <w:numPr>
          <w:ilvl w:val="0"/>
          <w:numId w:val="37"/>
        </w:numPr>
        <w:autoSpaceDE/>
        <w:autoSpaceDN/>
        <w:rPr>
          <w:sz w:val="24"/>
          <w:szCs w:val="24"/>
        </w:rPr>
      </w:pPr>
      <w:r w:rsidRPr="002B164B">
        <w:rPr>
          <w:sz w:val="24"/>
          <w:szCs w:val="24"/>
        </w:rPr>
        <w:t>The detailed designs are still being developed and are expected to be shared by late August.  This includes finalising the location of disabled parking spaces and bus stops, keeping them at easy access for the public.  Construction will only take place after St Giles’ Fair.</w:t>
      </w:r>
    </w:p>
    <w:p w14:paraId="33A81665" w14:textId="77777777" w:rsidR="005E5237" w:rsidRPr="002B164B" w:rsidRDefault="005E5237" w:rsidP="005E5237">
      <w:pPr>
        <w:pStyle w:val="ListParagraph"/>
        <w:widowControl/>
        <w:autoSpaceDE/>
        <w:autoSpaceDN/>
        <w:ind w:left="720" w:firstLine="0"/>
        <w:rPr>
          <w:b/>
          <w:bCs/>
          <w:sz w:val="24"/>
          <w:szCs w:val="24"/>
        </w:rPr>
      </w:pPr>
    </w:p>
    <w:p w14:paraId="526FE566" w14:textId="77777777" w:rsidR="005E5237" w:rsidRPr="002B164B" w:rsidRDefault="005E5237" w:rsidP="00910DB5">
      <w:pPr>
        <w:pStyle w:val="ListParagraph"/>
        <w:widowControl/>
        <w:numPr>
          <w:ilvl w:val="0"/>
          <w:numId w:val="37"/>
        </w:numPr>
        <w:autoSpaceDE/>
        <w:autoSpaceDN/>
        <w:rPr>
          <w:sz w:val="24"/>
          <w:szCs w:val="24"/>
        </w:rPr>
      </w:pPr>
      <w:r w:rsidRPr="002B164B">
        <w:rPr>
          <w:b/>
          <w:bCs/>
          <w:sz w:val="24"/>
          <w:szCs w:val="24"/>
        </w:rPr>
        <w:t>Create opportunities for children and young people to reach their full potential</w:t>
      </w:r>
      <w:r w:rsidRPr="002B164B">
        <w:rPr>
          <w:sz w:val="24"/>
          <w:szCs w:val="24"/>
        </w:rPr>
        <w:t xml:space="preserve"> has seen the following initiatives.</w:t>
      </w:r>
    </w:p>
    <w:p w14:paraId="29C0698D" w14:textId="77777777" w:rsidR="005E5237" w:rsidRPr="002B164B" w:rsidRDefault="005E5237" w:rsidP="005E5237">
      <w:pPr>
        <w:pStyle w:val="NormalWeb"/>
        <w:shd w:val="clear" w:color="auto" w:fill="FFFFFF"/>
        <w:spacing w:before="180" w:beforeAutospacing="0" w:after="180" w:afterAutospacing="0"/>
        <w:ind w:left="720"/>
        <w:rPr>
          <w:rFonts w:ascii="Arial" w:hAnsi="Arial" w:cs="Arial"/>
          <w:color w:val="0B0C0C"/>
        </w:rPr>
      </w:pPr>
      <w:r w:rsidRPr="002B164B">
        <w:rPr>
          <w:rFonts w:ascii="Arial" w:hAnsi="Arial" w:cs="Arial"/>
          <w:color w:val="0B0C0C"/>
        </w:rPr>
        <w:t>Children in Oxfordshire are being invited to take part in a fun, free summer reading challenge by Oxfordshire County Council’s libraries.</w:t>
      </w:r>
    </w:p>
    <w:p w14:paraId="559E047D" w14:textId="77777777" w:rsidR="005E5237" w:rsidRPr="002B164B" w:rsidRDefault="005E5237" w:rsidP="005E5237">
      <w:pPr>
        <w:pStyle w:val="NormalWeb"/>
        <w:shd w:val="clear" w:color="auto" w:fill="FFFFFF"/>
        <w:spacing w:before="180" w:beforeAutospacing="0" w:after="180" w:afterAutospacing="0"/>
        <w:ind w:left="720"/>
        <w:rPr>
          <w:rFonts w:ascii="Arial" w:hAnsi="Arial" w:cs="Arial"/>
          <w:color w:val="0B0C0C"/>
        </w:rPr>
      </w:pPr>
      <w:r w:rsidRPr="002B164B">
        <w:rPr>
          <w:rFonts w:ascii="Arial" w:hAnsi="Arial" w:cs="Arial"/>
          <w:color w:val="0B0C0C"/>
        </w:rPr>
        <w:t>This year, the Reading Agency’s summer reading challenge is celebrating science and innovation and will see children team up with the Gadgeteers, a group of friends who love creating inventions. Children will be able to participate in various activities and events related to the challenge.</w:t>
      </w:r>
    </w:p>
    <w:p w14:paraId="2A1F0714" w14:textId="77777777" w:rsidR="005E5237" w:rsidRPr="002B164B" w:rsidRDefault="005E5237" w:rsidP="005E5237">
      <w:pPr>
        <w:pStyle w:val="NormalWeb"/>
        <w:shd w:val="clear" w:color="auto" w:fill="FFFFFF"/>
        <w:spacing w:before="180" w:beforeAutospacing="0" w:after="180" w:afterAutospacing="0"/>
        <w:ind w:left="720"/>
        <w:rPr>
          <w:rFonts w:ascii="Arial" w:hAnsi="Arial" w:cs="Arial"/>
          <w:color w:val="0B0C0C"/>
        </w:rPr>
      </w:pPr>
      <w:r w:rsidRPr="002B164B">
        <w:rPr>
          <w:rFonts w:ascii="Arial" w:hAnsi="Arial" w:cs="Arial"/>
          <w:color w:val="0B0C0C"/>
        </w:rPr>
        <w:t>The challenge launched in the county’s libraries on Saturday 9 July 2022 and will run until Saturday 10 September 2022.</w:t>
      </w:r>
    </w:p>
    <w:p w14:paraId="035F51AD" w14:textId="77777777" w:rsidR="005E5237" w:rsidRPr="002B164B" w:rsidRDefault="005E5237" w:rsidP="00910DB5">
      <w:pPr>
        <w:pStyle w:val="ListParagraph"/>
        <w:widowControl/>
        <w:numPr>
          <w:ilvl w:val="0"/>
          <w:numId w:val="37"/>
        </w:numPr>
        <w:autoSpaceDE/>
        <w:autoSpaceDN/>
        <w:jc w:val="left"/>
        <w:rPr>
          <w:sz w:val="24"/>
          <w:szCs w:val="24"/>
        </w:rPr>
      </w:pPr>
      <w:r w:rsidRPr="002B164B">
        <w:rPr>
          <w:sz w:val="24"/>
          <w:szCs w:val="24"/>
        </w:rPr>
        <w:t xml:space="preserve">By reading books, and collecting stickers and other rewards, children can discover how the Gadgeteers use their skills to plan an epic summer party at their local community centre.  Once completing the reading challenge, participants will receive their very own Gadgeteers certificate and medal and get </w:t>
      </w:r>
      <w:proofErr w:type="gramStart"/>
      <w:r w:rsidRPr="002B164B">
        <w:rPr>
          <w:sz w:val="24"/>
          <w:szCs w:val="24"/>
        </w:rPr>
        <w:lastRenderedPageBreak/>
        <w:t>entered into</w:t>
      </w:r>
      <w:proofErr w:type="gramEnd"/>
      <w:r w:rsidRPr="002B164B">
        <w:rPr>
          <w:sz w:val="24"/>
          <w:szCs w:val="24"/>
        </w:rPr>
        <w:t xml:space="preserve"> a countywide prize draw.  Prizes include exciting science kits and national book tokens.</w:t>
      </w:r>
    </w:p>
    <w:p w14:paraId="7ACD114B" w14:textId="77777777" w:rsidR="005E5237" w:rsidRPr="002B164B" w:rsidRDefault="005E5237" w:rsidP="005E5237">
      <w:pPr>
        <w:pStyle w:val="ListParagraph"/>
        <w:widowControl/>
        <w:autoSpaceDE/>
        <w:autoSpaceDN/>
        <w:ind w:left="720" w:firstLine="0"/>
        <w:jc w:val="left"/>
        <w:rPr>
          <w:sz w:val="24"/>
          <w:szCs w:val="24"/>
        </w:rPr>
      </w:pPr>
    </w:p>
    <w:p w14:paraId="281D53F9" w14:textId="77777777" w:rsidR="005E5237" w:rsidRPr="002B164B" w:rsidRDefault="005E5237" w:rsidP="00910DB5">
      <w:pPr>
        <w:pStyle w:val="ListParagraph"/>
        <w:widowControl/>
        <w:numPr>
          <w:ilvl w:val="0"/>
          <w:numId w:val="37"/>
        </w:numPr>
        <w:autoSpaceDE/>
        <w:autoSpaceDN/>
        <w:rPr>
          <w:sz w:val="24"/>
          <w:szCs w:val="24"/>
        </w:rPr>
      </w:pPr>
      <w:r w:rsidRPr="002B164B">
        <w:rPr>
          <w:sz w:val="24"/>
          <w:szCs w:val="24"/>
        </w:rPr>
        <w:t xml:space="preserve">To participate in this year's summer reading challenge, children can sign up at their nearest library. They will be given a collector’s poster to keep a record of their reading journey.  Under fours can take part in a </w:t>
      </w:r>
      <w:proofErr w:type="gramStart"/>
      <w:r w:rsidRPr="002B164B">
        <w:rPr>
          <w:sz w:val="24"/>
          <w:szCs w:val="24"/>
        </w:rPr>
        <w:t>mini-challenge</w:t>
      </w:r>
      <w:proofErr w:type="gramEnd"/>
      <w:r w:rsidRPr="002B164B">
        <w:rPr>
          <w:sz w:val="24"/>
          <w:szCs w:val="24"/>
        </w:rPr>
        <w:t xml:space="preserve"> with their own unique card and stickers.</w:t>
      </w:r>
    </w:p>
    <w:p w14:paraId="082B3653" w14:textId="77777777" w:rsidR="005E5237" w:rsidRPr="002B164B" w:rsidRDefault="005E5237" w:rsidP="005E5237">
      <w:pPr>
        <w:pStyle w:val="ListParagraph"/>
        <w:rPr>
          <w:sz w:val="24"/>
          <w:szCs w:val="24"/>
        </w:rPr>
      </w:pPr>
    </w:p>
    <w:p w14:paraId="7CCFD0D6" w14:textId="77777777" w:rsidR="005E5237" w:rsidRPr="002B164B" w:rsidRDefault="005E5237" w:rsidP="00910DB5">
      <w:pPr>
        <w:pStyle w:val="ListParagraph"/>
        <w:widowControl/>
        <w:numPr>
          <w:ilvl w:val="0"/>
          <w:numId w:val="37"/>
        </w:numPr>
        <w:autoSpaceDE/>
        <w:autoSpaceDN/>
        <w:rPr>
          <w:sz w:val="24"/>
          <w:szCs w:val="24"/>
        </w:rPr>
      </w:pPr>
      <w:r w:rsidRPr="002B164B">
        <w:rPr>
          <w:sz w:val="24"/>
          <w:szCs w:val="24"/>
        </w:rPr>
        <w:t xml:space="preserve">Parents and carers have been sharing their experiences of ‘50 things to do before you’re five’, an early language development scheme from Oxfordshire County Council.  Being able to communicate effectively supports children’s mental health and wellbeing, their </w:t>
      </w:r>
      <w:proofErr w:type="gramStart"/>
      <w:r w:rsidRPr="002B164B">
        <w:rPr>
          <w:sz w:val="24"/>
          <w:szCs w:val="24"/>
        </w:rPr>
        <w:t>self-confidence</w:t>
      </w:r>
      <w:proofErr w:type="gramEnd"/>
      <w:r w:rsidRPr="002B164B">
        <w:rPr>
          <w:sz w:val="24"/>
          <w:szCs w:val="24"/>
        </w:rPr>
        <w:t xml:space="preserve"> and the forming of friendships in early years, as well as being the backbone of later literacy development.</w:t>
      </w:r>
    </w:p>
    <w:p w14:paraId="4B8B94E8" w14:textId="77777777" w:rsidR="005E5237" w:rsidRPr="002B164B" w:rsidRDefault="005E5237" w:rsidP="005E5237">
      <w:pPr>
        <w:pStyle w:val="ListParagraph"/>
        <w:rPr>
          <w:sz w:val="24"/>
          <w:szCs w:val="24"/>
        </w:rPr>
      </w:pPr>
    </w:p>
    <w:p w14:paraId="44DC692A" w14:textId="77777777" w:rsidR="005E5237" w:rsidRPr="002B164B" w:rsidRDefault="005E5237" w:rsidP="00910DB5">
      <w:pPr>
        <w:pStyle w:val="ListParagraph"/>
        <w:widowControl/>
        <w:numPr>
          <w:ilvl w:val="0"/>
          <w:numId w:val="37"/>
        </w:numPr>
        <w:autoSpaceDE/>
        <w:autoSpaceDN/>
        <w:rPr>
          <w:sz w:val="24"/>
          <w:szCs w:val="24"/>
        </w:rPr>
      </w:pPr>
      <w:r w:rsidRPr="002B164B">
        <w:rPr>
          <w:sz w:val="24"/>
          <w:szCs w:val="24"/>
        </w:rPr>
        <w:t>The initiative, which officially launched in July 2021, uses a free downloadable phone app to provide families with a list of activities designed to help their child’s pre-school development. There is emphasis on parent-child interaction to assist with speech in the under-fives.  Each suggested activity is no cost - low cost. The choice is almost endless: Making mud pies, looking at birds and other easily accessible wildlife; enjoying learning to understand and describe the things around us by using a list of suggested words to expand vocabulary.</w:t>
      </w:r>
    </w:p>
    <w:p w14:paraId="56BB44C7" w14:textId="77777777" w:rsidR="005E5237" w:rsidRPr="002B164B" w:rsidRDefault="005E5237" w:rsidP="005E5237">
      <w:pPr>
        <w:pStyle w:val="ListParagraph"/>
        <w:widowControl/>
        <w:autoSpaceDE/>
        <w:autoSpaceDN/>
        <w:ind w:left="720" w:firstLine="0"/>
      </w:pPr>
    </w:p>
    <w:p w14:paraId="7E2306E4" w14:textId="1201502F" w:rsidR="00B359C9" w:rsidRDefault="00B359C9" w:rsidP="00B359C9">
      <w:pPr>
        <w:widowControl/>
        <w:autoSpaceDE/>
        <w:autoSpaceDN/>
        <w:rPr>
          <w:sz w:val="24"/>
          <w:szCs w:val="24"/>
        </w:rPr>
      </w:pPr>
    </w:p>
    <w:p w14:paraId="576DC3C2" w14:textId="7642938A" w:rsidR="005E5237" w:rsidRDefault="005E5237">
      <w:pPr>
        <w:widowControl/>
        <w:autoSpaceDE/>
        <w:autoSpaceDN/>
        <w:spacing w:after="160" w:line="259" w:lineRule="auto"/>
        <w:rPr>
          <w:sz w:val="24"/>
          <w:szCs w:val="24"/>
        </w:rPr>
      </w:pPr>
      <w:r>
        <w:rPr>
          <w:sz w:val="24"/>
          <w:szCs w:val="24"/>
        </w:rPr>
        <w:br w:type="page"/>
      </w:r>
    </w:p>
    <w:p w14:paraId="73231350" w14:textId="77777777" w:rsidR="005E5237" w:rsidRDefault="005E5237" w:rsidP="00B359C9">
      <w:pPr>
        <w:widowControl/>
        <w:autoSpaceDE/>
        <w:autoSpaceDN/>
        <w:rPr>
          <w:sz w:val="24"/>
          <w:szCs w:val="24"/>
        </w:rPr>
      </w:pPr>
    </w:p>
    <w:p w14:paraId="22680D56" w14:textId="251671B2" w:rsidR="00B359C9" w:rsidRPr="00AB761B" w:rsidRDefault="00B359C9" w:rsidP="00910DB5">
      <w:pPr>
        <w:pStyle w:val="ListParagraph"/>
        <w:widowControl/>
        <w:numPr>
          <w:ilvl w:val="0"/>
          <w:numId w:val="37"/>
        </w:numPr>
        <w:autoSpaceDE/>
        <w:autoSpaceDN/>
        <w:rPr>
          <w:b/>
          <w:bCs/>
          <w:sz w:val="24"/>
          <w:szCs w:val="24"/>
        </w:rPr>
      </w:pPr>
      <w:r w:rsidRPr="00AB761B">
        <w:rPr>
          <w:b/>
          <w:bCs/>
          <w:sz w:val="24"/>
          <w:szCs w:val="24"/>
        </w:rPr>
        <w:t>Risk Management Overview</w:t>
      </w:r>
    </w:p>
    <w:p w14:paraId="507DA64F" w14:textId="77777777" w:rsidR="00B359C9" w:rsidRPr="00B359C9" w:rsidRDefault="00B359C9" w:rsidP="00B359C9">
      <w:pPr>
        <w:pStyle w:val="ListParagraph"/>
        <w:rPr>
          <w:sz w:val="24"/>
          <w:szCs w:val="24"/>
        </w:rPr>
      </w:pPr>
    </w:p>
    <w:p w14:paraId="22CFD293" w14:textId="26D313BF" w:rsidR="00AB761B" w:rsidRPr="00AB761B" w:rsidRDefault="00AB761B" w:rsidP="00AB761B">
      <w:pPr>
        <w:pStyle w:val="ListParagraph"/>
        <w:widowControl/>
        <w:autoSpaceDE/>
        <w:autoSpaceDN/>
        <w:ind w:left="720" w:firstLine="0"/>
        <w:rPr>
          <w:sz w:val="24"/>
          <w:szCs w:val="24"/>
        </w:rPr>
      </w:pPr>
      <w:r>
        <w:rPr>
          <w:sz w:val="24"/>
          <w:szCs w:val="24"/>
        </w:rPr>
        <w:t xml:space="preserve">The below table reflects an overview of the current strategic risk position. All risks are being fully reviewed. </w:t>
      </w:r>
    </w:p>
    <w:tbl>
      <w:tblPr>
        <w:tblW w:w="821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964"/>
        <w:gridCol w:w="1843"/>
        <w:gridCol w:w="2410"/>
      </w:tblGrid>
      <w:tr w:rsidR="00AB761B" w:rsidRPr="00F72013" w14:paraId="1BCBAFDE" w14:textId="77777777" w:rsidTr="00AB761B">
        <w:trPr>
          <w:trHeight w:hRule="exact" w:val="249"/>
          <w:jc w:val="center"/>
        </w:trPr>
        <w:tc>
          <w:tcPr>
            <w:tcW w:w="3964" w:type="dxa"/>
          </w:tcPr>
          <w:p w14:paraId="33F9A9C7" w14:textId="77777777" w:rsidR="00AB761B" w:rsidRPr="00F72013" w:rsidRDefault="00AB761B" w:rsidP="00AB761B">
            <w:pPr>
              <w:jc w:val="center"/>
              <w:rPr>
                <w:b/>
                <w:bCs/>
                <w:sz w:val="18"/>
                <w:szCs w:val="18"/>
              </w:rPr>
            </w:pPr>
            <w:r w:rsidRPr="00F72013">
              <w:rPr>
                <w:b/>
                <w:bCs/>
                <w:sz w:val="18"/>
                <w:szCs w:val="18"/>
              </w:rPr>
              <w:t>Risk Title</w:t>
            </w:r>
          </w:p>
        </w:tc>
        <w:tc>
          <w:tcPr>
            <w:tcW w:w="1843" w:type="dxa"/>
          </w:tcPr>
          <w:p w14:paraId="0BF31688" w14:textId="77777777" w:rsidR="00AB761B" w:rsidRPr="00F72013" w:rsidRDefault="00AB761B" w:rsidP="00AB761B">
            <w:pPr>
              <w:jc w:val="center"/>
              <w:rPr>
                <w:b/>
                <w:bCs/>
                <w:sz w:val="18"/>
                <w:szCs w:val="18"/>
              </w:rPr>
            </w:pPr>
            <w:r w:rsidRPr="00F72013">
              <w:rPr>
                <w:b/>
                <w:bCs/>
                <w:sz w:val="18"/>
                <w:szCs w:val="18"/>
              </w:rPr>
              <w:t>Residual Risk Score</w:t>
            </w:r>
          </w:p>
        </w:tc>
        <w:tc>
          <w:tcPr>
            <w:tcW w:w="2410" w:type="dxa"/>
          </w:tcPr>
          <w:p w14:paraId="217EE2B3" w14:textId="77777777" w:rsidR="00AB761B" w:rsidRPr="00F72013" w:rsidRDefault="00AB761B" w:rsidP="00AB761B">
            <w:pPr>
              <w:jc w:val="center"/>
              <w:rPr>
                <w:b/>
                <w:bCs/>
                <w:sz w:val="18"/>
                <w:szCs w:val="18"/>
              </w:rPr>
            </w:pPr>
            <w:r>
              <w:rPr>
                <w:b/>
                <w:bCs/>
                <w:sz w:val="18"/>
                <w:szCs w:val="18"/>
              </w:rPr>
              <w:t>Comment</w:t>
            </w:r>
          </w:p>
        </w:tc>
      </w:tr>
      <w:tr w:rsidR="00AB761B" w:rsidRPr="00776028" w14:paraId="51DCB02E" w14:textId="77777777" w:rsidTr="00AB761B">
        <w:trPr>
          <w:trHeight w:hRule="exact" w:val="292"/>
          <w:jc w:val="center"/>
        </w:trPr>
        <w:tc>
          <w:tcPr>
            <w:tcW w:w="3964" w:type="dxa"/>
          </w:tcPr>
          <w:p w14:paraId="11D69AC0" w14:textId="77777777" w:rsidR="00AB761B" w:rsidRPr="003C70E1" w:rsidRDefault="00AB761B" w:rsidP="007F5D92">
            <w:pPr>
              <w:rPr>
                <w:sz w:val="18"/>
                <w:szCs w:val="18"/>
              </w:rPr>
            </w:pPr>
            <w:r w:rsidRPr="003C70E1">
              <w:rPr>
                <w:sz w:val="18"/>
                <w:szCs w:val="18"/>
              </w:rPr>
              <w:t>Demand management - Children</w:t>
            </w:r>
          </w:p>
        </w:tc>
        <w:tc>
          <w:tcPr>
            <w:tcW w:w="1843" w:type="dxa"/>
            <w:shd w:val="clear" w:color="auto" w:fill="FF0000"/>
          </w:tcPr>
          <w:p w14:paraId="70FB5FD5" w14:textId="77777777" w:rsidR="00AB761B" w:rsidRPr="003C70E1" w:rsidRDefault="00AB761B" w:rsidP="007F5D92">
            <w:pPr>
              <w:jc w:val="center"/>
              <w:rPr>
                <w:sz w:val="18"/>
                <w:szCs w:val="18"/>
              </w:rPr>
            </w:pPr>
            <w:r w:rsidRPr="003C70E1">
              <w:rPr>
                <w:sz w:val="18"/>
                <w:szCs w:val="18"/>
              </w:rPr>
              <w:t>20 High Risk</w:t>
            </w:r>
          </w:p>
        </w:tc>
        <w:tc>
          <w:tcPr>
            <w:tcW w:w="2410" w:type="dxa"/>
          </w:tcPr>
          <w:p w14:paraId="76987566" w14:textId="792A302F" w:rsidR="00AB761B" w:rsidRPr="00776028" w:rsidRDefault="00AB761B" w:rsidP="007F5D92">
            <w:pPr>
              <w:ind w:left="141"/>
              <w:rPr>
                <w:sz w:val="18"/>
                <w:szCs w:val="18"/>
              </w:rPr>
            </w:pPr>
            <w:r w:rsidRPr="00776028">
              <w:rPr>
                <w:sz w:val="18"/>
                <w:szCs w:val="18"/>
              </w:rPr>
              <w:t>Risk</w:t>
            </w:r>
            <w:r>
              <w:rPr>
                <w:sz w:val="18"/>
                <w:szCs w:val="18"/>
              </w:rPr>
              <w:t xml:space="preserve"> reviewed and updated</w:t>
            </w:r>
          </w:p>
        </w:tc>
      </w:tr>
      <w:tr w:rsidR="00AB761B" w:rsidRPr="00776028" w14:paraId="21C59009" w14:textId="77777777" w:rsidTr="00AB761B">
        <w:trPr>
          <w:trHeight w:hRule="exact" w:val="283"/>
          <w:jc w:val="center"/>
        </w:trPr>
        <w:tc>
          <w:tcPr>
            <w:tcW w:w="3964" w:type="dxa"/>
          </w:tcPr>
          <w:p w14:paraId="670B029D" w14:textId="77777777" w:rsidR="00AB761B" w:rsidRPr="00F17462" w:rsidRDefault="00AB761B" w:rsidP="00AB761B">
            <w:pPr>
              <w:rPr>
                <w:sz w:val="18"/>
                <w:szCs w:val="18"/>
              </w:rPr>
            </w:pPr>
            <w:r w:rsidRPr="00F17462">
              <w:rPr>
                <w:sz w:val="18"/>
                <w:szCs w:val="18"/>
              </w:rPr>
              <w:t>Safeguarding of vulnerable children</w:t>
            </w:r>
          </w:p>
        </w:tc>
        <w:tc>
          <w:tcPr>
            <w:tcW w:w="1843" w:type="dxa"/>
            <w:shd w:val="clear" w:color="auto" w:fill="FFC000"/>
          </w:tcPr>
          <w:p w14:paraId="2C702238" w14:textId="77777777" w:rsidR="00AB761B" w:rsidRPr="003C70E1" w:rsidRDefault="00AB761B" w:rsidP="00AB761B">
            <w:pPr>
              <w:jc w:val="center"/>
              <w:rPr>
                <w:sz w:val="18"/>
                <w:szCs w:val="18"/>
              </w:rPr>
            </w:pPr>
            <w:r w:rsidRPr="003C70E1">
              <w:rPr>
                <w:sz w:val="18"/>
                <w:szCs w:val="18"/>
              </w:rPr>
              <w:t>15 Medium Risk</w:t>
            </w:r>
          </w:p>
        </w:tc>
        <w:tc>
          <w:tcPr>
            <w:tcW w:w="2410" w:type="dxa"/>
          </w:tcPr>
          <w:p w14:paraId="64DD885F" w14:textId="52EE6DA5" w:rsidR="00AB761B" w:rsidRPr="00776028" w:rsidRDefault="00AB761B" w:rsidP="00AB761B">
            <w:pPr>
              <w:ind w:left="141"/>
              <w:rPr>
                <w:sz w:val="18"/>
                <w:szCs w:val="18"/>
              </w:rPr>
            </w:pPr>
            <w:r w:rsidRPr="00566892">
              <w:rPr>
                <w:sz w:val="18"/>
                <w:szCs w:val="18"/>
              </w:rPr>
              <w:t>Risk reviewed and updated</w:t>
            </w:r>
          </w:p>
        </w:tc>
      </w:tr>
      <w:tr w:rsidR="00AB761B" w:rsidRPr="00776028" w14:paraId="236DB43F" w14:textId="77777777" w:rsidTr="00AB761B">
        <w:trPr>
          <w:trHeight w:hRule="exact" w:val="272"/>
          <w:jc w:val="center"/>
        </w:trPr>
        <w:tc>
          <w:tcPr>
            <w:tcW w:w="3964" w:type="dxa"/>
          </w:tcPr>
          <w:p w14:paraId="583CD1BC" w14:textId="77777777" w:rsidR="00AB761B" w:rsidRPr="00F17462" w:rsidRDefault="00AB761B" w:rsidP="00AB761B">
            <w:pPr>
              <w:rPr>
                <w:sz w:val="18"/>
                <w:szCs w:val="18"/>
              </w:rPr>
            </w:pPr>
            <w:r w:rsidRPr="00F17462">
              <w:rPr>
                <w:sz w:val="18"/>
                <w:szCs w:val="18"/>
              </w:rPr>
              <w:t>High needs block funding</w:t>
            </w:r>
          </w:p>
        </w:tc>
        <w:tc>
          <w:tcPr>
            <w:tcW w:w="1843" w:type="dxa"/>
            <w:shd w:val="clear" w:color="auto" w:fill="FFC000"/>
          </w:tcPr>
          <w:p w14:paraId="3046F336" w14:textId="77777777" w:rsidR="00AB761B" w:rsidRPr="003C70E1" w:rsidRDefault="00AB761B" w:rsidP="00AB761B">
            <w:pPr>
              <w:jc w:val="center"/>
              <w:rPr>
                <w:sz w:val="18"/>
                <w:szCs w:val="18"/>
              </w:rPr>
            </w:pPr>
            <w:r w:rsidRPr="003C70E1">
              <w:rPr>
                <w:sz w:val="18"/>
                <w:szCs w:val="18"/>
              </w:rPr>
              <w:t>15 Medium Risk</w:t>
            </w:r>
          </w:p>
        </w:tc>
        <w:tc>
          <w:tcPr>
            <w:tcW w:w="2410" w:type="dxa"/>
          </w:tcPr>
          <w:p w14:paraId="2CED3742" w14:textId="1FF12750" w:rsidR="00AB761B" w:rsidRPr="00776028" w:rsidRDefault="00AB761B" w:rsidP="00AB761B">
            <w:pPr>
              <w:ind w:left="141"/>
              <w:rPr>
                <w:sz w:val="18"/>
                <w:szCs w:val="18"/>
              </w:rPr>
            </w:pPr>
            <w:r w:rsidRPr="00566892">
              <w:rPr>
                <w:sz w:val="18"/>
                <w:szCs w:val="18"/>
              </w:rPr>
              <w:t>Risk reviewed and updated</w:t>
            </w:r>
          </w:p>
        </w:tc>
      </w:tr>
      <w:tr w:rsidR="00AB761B" w:rsidRPr="00776028" w14:paraId="2C599934" w14:textId="77777777" w:rsidTr="00AB761B">
        <w:trPr>
          <w:trHeight w:hRule="exact" w:val="493"/>
          <w:jc w:val="center"/>
        </w:trPr>
        <w:tc>
          <w:tcPr>
            <w:tcW w:w="3964" w:type="dxa"/>
          </w:tcPr>
          <w:p w14:paraId="5A94BAA4" w14:textId="77777777" w:rsidR="00AB761B" w:rsidRPr="003C70E1" w:rsidRDefault="00AB761B" w:rsidP="00AB761B">
            <w:pPr>
              <w:rPr>
                <w:sz w:val="18"/>
                <w:szCs w:val="18"/>
              </w:rPr>
            </w:pPr>
            <w:r w:rsidRPr="003C70E1">
              <w:rPr>
                <w:sz w:val="18"/>
                <w:szCs w:val="18"/>
              </w:rPr>
              <w:t>Recruitment and Retention of Children’s Social Workers</w:t>
            </w:r>
          </w:p>
        </w:tc>
        <w:tc>
          <w:tcPr>
            <w:tcW w:w="1843" w:type="dxa"/>
            <w:shd w:val="clear" w:color="auto" w:fill="FF0000"/>
          </w:tcPr>
          <w:p w14:paraId="16C90351" w14:textId="77777777" w:rsidR="00AB761B" w:rsidRPr="003C70E1" w:rsidRDefault="00AB761B" w:rsidP="00AB761B">
            <w:pPr>
              <w:jc w:val="center"/>
              <w:rPr>
                <w:sz w:val="18"/>
                <w:szCs w:val="18"/>
              </w:rPr>
            </w:pPr>
            <w:r>
              <w:rPr>
                <w:sz w:val="18"/>
                <w:szCs w:val="18"/>
              </w:rPr>
              <w:t>16</w:t>
            </w:r>
            <w:r w:rsidRPr="003C70E1">
              <w:rPr>
                <w:sz w:val="18"/>
                <w:szCs w:val="18"/>
              </w:rPr>
              <w:t xml:space="preserve"> High Risk</w:t>
            </w:r>
          </w:p>
        </w:tc>
        <w:tc>
          <w:tcPr>
            <w:tcW w:w="2410" w:type="dxa"/>
          </w:tcPr>
          <w:p w14:paraId="3890F6D2" w14:textId="017DEFC6" w:rsidR="00AB761B" w:rsidRPr="00776028" w:rsidRDefault="00AB761B" w:rsidP="00AB761B">
            <w:pPr>
              <w:ind w:left="141"/>
              <w:rPr>
                <w:sz w:val="18"/>
                <w:szCs w:val="18"/>
              </w:rPr>
            </w:pPr>
            <w:r w:rsidRPr="00566892">
              <w:rPr>
                <w:sz w:val="18"/>
                <w:szCs w:val="18"/>
              </w:rPr>
              <w:t>Risk reviewed and updated</w:t>
            </w:r>
          </w:p>
        </w:tc>
      </w:tr>
      <w:tr w:rsidR="00AB761B" w:rsidRPr="00776028" w14:paraId="0E075C35" w14:textId="77777777" w:rsidTr="00AB761B">
        <w:trPr>
          <w:trHeight w:hRule="exact" w:val="429"/>
          <w:jc w:val="center"/>
        </w:trPr>
        <w:tc>
          <w:tcPr>
            <w:tcW w:w="3964" w:type="dxa"/>
          </w:tcPr>
          <w:p w14:paraId="1CBCA13E" w14:textId="77777777" w:rsidR="00AB761B" w:rsidRPr="003C70E1" w:rsidRDefault="00AB761B" w:rsidP="00AB761B">
            <w:pPr>
              <w:rPr>
                <w:sz w:val="18"/>
                <w:szCs w:val="18"/>
              </w:rPr>
            </w:pPr>
            <w:r w:rsidRPr="003C70E1">
              <w:rPr>
                <w:sz w:val="18"/>
                <w:szCs w:val="18"/>
              </w:rPr>
              <w:t>Insufficient placement availability for children we care for</w:t>
            </w:r>
          </w:p>
          <w:p w14:paraId="0B829634" w14:textId="77777777" w:rsidR="00AB761B" w:rsidRPr="003C70E1" w:rsidRDefault="00AB761B" w:rsidP="00AB761B">
            <w:pPr>
              <w:rPr>
                <w:sz w:val="18"/>
                <w:szCs w:val="18"/>
              </w:rPr>
            </w:pPr>
          </w:p>
        </w:tc>
        <w:tc>
          <w:tcPr>
            <w:tcW w:w="1843" w:type="dxa"/>
            <w:shd w:val="clear" w:color="auto" w:fill="FF0000"/>
          </w:tcPr>
          <w:p w14:paraId="2BC8F1BA" w14:textId="77777777" w:rsidR="00AB761B" w:rsidRPr="003C70E1" w:rsidRDefault="00AB761B" w:rsidP="00AB761B">
            <w:pPr>
              <w:jc w:val="center"/>
              <w:rPr>
                <w:sz w:val="18"/>
                <w:szCs w:val="18"/>
              </w:rPr>
            </w:pPr>
            <w:r w:rsidRPr="003C70E1">
              <w:rPr>
                <w:sz w:val="18"/>
                <w:szCs w:val="18"/>
              </w:rPr>
              <w:t>20 High Risk</w:t>
            </w:r>
          </w:p>
        </w:tc>
        <w:tc>
          <w:tcPr>
            <w:tcW w:w="2410" w:type="dxa"/>
          </w:tcPr>
          <w:p w14:paraId="56EE462F" w14:textId="57642BE3" w:rsidR="00AB761B" w:rsidRPr="00776028" w:rsidRDefault="00AB761B" w:rsidP="00AB761B">
            <w:pPr>
              <w:ind w:left="141"/>
              <w:rPr>
                <w:sz w:val="18"/>
                <w:szCs w:val="18"/>
              </w:rPr>
            </w:pPr>
            <w:r w:rsidRPr="00566892">
              <w:rPr>
                <w:sz w:val="18"/>
                <w:szCs w:val="18"/>
              </w:rPr>
              <w:t>Risk reviewed and updated</w:t>
            </w:r>
          </w:p>
        </w:tc>
      </w:tr>
      <w:tr w:rsidR="00AB761B" w:rsidRPr="00776028" w14:paraId="119BF80A" w14:textId="77777777" w:rsidTr="00AB761B">
        <w:trPr>
          <w:trHeight w:hRule="exact" w:val="290"/>
          <w:jc w:val="center"/>
        </w:trPr>
        <w:tc>
          <w:tcPr>
            <w:tcW w:w="3964" w:type="dxa"/>
          </w:tcPr>
          <w:p w14:paraId="1A7CB30C" w14:textId="77777777" w:rsidR="00AB761B" w:rsidRPr="003C70E1" w:rsidRDefault="00AB761B" w:rsidP="00AB761B">
            <w:pPr>
              <w:rPr>
                <w:sz w:val="18"/>
                <w:szCs w:val="18"/>
              </w:rPr>
            </w:pPr>
            <w:r w:rsidRPr="003C70E1">
              <w:rPr>
                <w:sz w:val="18"/>
                <w:szCs w:val="18"/>
              </w:rPr>
              <w:t>Safeguarding of vulnerable adults</w:t>
            </w:r>
          </w:p>
        </w:tc>
        <w:tc>
          <w:tcPr>
            <w:tcW w:w="1843" w:type="dxa"/>
            <w:shd w:val="clear" w:color="auto" w:fill="92D050"/>
          </w:tcPr>
          <w:p w14:paraId="3CED8350" w14:textId="77777777" w:rsidR="00AB761B" w:rsidRPr="003C70E1" w:rsidRDefault="00AB761B" w:rsidP="00AB761B">
            <w:pPr>
              <w:jc w:val="center"/>
              <w:rPr>
                <w:sz w:val="18"/>
                <w:szCs w:val="18"/>
              </w:rPr>
            </w:pPr>
            <w:r>
              <w:rPr>
                <w:sz w:val="18"/>
                <w:szCs w:val="18"/>
              </w:rPr>
              <w:t>9</w:t>
            </w:r>
            <w:r w:rsidRPr="003C70E1">
              <w:rPr>
                <w:sz w:val="18"/>
                <w:szCs w:val="18"/>
              </w:rPr>
              <w:t xml:space="preserve"> </w:t>
            </w:r>
            <w:r>
              <w:rPr>
                <w:sz w:val="18"/>
                <w:szCs w:val="18"/>
              </w:rPr>
              <w:t>Low</w:t>
            </w:r>
            <w:r w:rsidRPr="003C70E1">
              <w:rPr>
                <w:sz w:val="18"/>
                <w:szCs w:val="18"/>
              </w:rPr>
              <w:t xml:space="preserve"> Risk</w:t>
            </w:r>
          </w:p>
        </w:tc>
        <w:tc>
          <w:tcPr>
            <w:tcW w:w="2410" w:type="dxa"/>
          </w:tcPr>
          <w:p w14:paraId="7ED3777D" w14:textId="38F47CB5" w:rsidR="00AB761B" w:rsidRPr="00776028" w:rsidRDefault="00AB761B" w:rsidP="00AB761B">
            <w:pPr>
              <w:ind w:left="141"/>
              <w:rPr>
                <w:color w:val="FF0000"/>
                <w:sz w:val="18"/>
                <w:szCs w:val="18"/>
              </w:rPr>
            </w:pPr>
            <w:r w:rsidRPr="00566892">
              <w:rPr>
                <w:sz w:val="18"/>
                <w:szCs w:val="18"/>
              </w:rPr>
              <w:t>Risk reviewed and updated</w:t>
            </w:r>
          </w:p>
        </w:tc>
      </w:tr>
      <w:tr w:rsidR="00AB761B" w:rsidRPr="00776028" w14:paraId="0B557654" w14:textId="77777777" w:rsidTr="00AB761B">
        <w:trPr>
          <w:trHeight w:hRule="exact" w:val="299"/>
          <w:jc w:val="center"/>
        </w:trPr>
        <w:tc>
          <w:tcPr>
            <w:tcW w:w="3964" w:type="dxa"/>
          </w:tcPr>
          <w:p w14:paraId="0DBDB2D0" w14:textId="77777777" w:rsidR="00AB761B" w:rsidRPr="003C70E1" w:rsidRDefault="00AB761B" w:rsidP="00AB761B">
            <w:pPr>
              <w:rPr>
                <w:sz w:val="18"/>
                <w:szCs w:val="18"/>
              </w:rPr>
            </w:pPr>
            <w:r w:rsidRPr="003C70E1">
              <w:rPr>
                <w:sz w:val="18"/>
                <w:szCs w:val="18"/>
              </w:rPr>
              <w:t>Demand management - Adults</w:t>
            </w:r>
          </w:p>
        </w:tc>
        <w:tc>
          <w:tcPr>
            <w:tcW w:w="1843" w:type="dxa"/>
            <w:shd w:val="clear" w:color="auto" w:fill="FF0000"/>
          </w:tcPr>
          <w:p w14:paraId="1F8A6C4B" w14:textId="77777777" w:rsidR="00AB761B" w:rsidRPr="003C70E1" w:rsidRDefault="00AB761B" w:rsidP="00AB761B">
            <w:pPr>
              <w:jc w:val="center"/>
              <w:rPr>
                <w:sz w:val="18"/>
                <w:szCs w:val="18"/>
              </w:rPr>
            </w:pPr>
            <w:r w:rsidRPr="004227C8">
              <w:rPr>
                <w:sz w:val="18"/>
                <w:szCs w:val="18"/>
              </w:rPr>
              <w:t>16 High Risk</w:t>
            </w:r>
          </w:p>
        </w:tc>
        <w:tc>
          <w:tcPr>
            <w:tcW w:w="2410" w:type="dxa"/>
          </w:tcPr>
          <w:p w14:paraId="1C693651" w14:textId="1660F782" w:rsidR="00AB761B" w:rsidRPr="00776028" w:rsidRDefault="00AB761B" w:rsidP="00AB761B">
            <w:pPr>
              <w:ind w:left="141"/>
              <w:rPr>
                <w:color w:val="FF0000"/>
                <w:sz w:val="18"/>
                <w:szCs w:val="18"/>
              </w:rPr>
            </w:pPr>
            <w:r w:rsidRPr="00566892">
              <w:rPr>
                <w:sz w:val="18"/>
                <w:szCs w:val="18"/>
              </w:rPr>
              <w:t>Risk reviewed and updated</w:t>
            </w:r>
          </w:p>
        </w:tc>
      </w:tr>
      <w:tr w:rsidR="00AB761B" w:rsidRPr="00776028" w14:paraId="18EBCA16" w14:textId="77777777" w:rsidTr="00AB761B">
        <w:trPr>
          <w:trHeight w:hRule="exact" w:val="289"/>
          <w:jc w:val="center"/>
        </w:trPr>
        <w:tc>
          <w:tcPr>
            <w:tcW w:w="3964" w:type="dxa"/>
          </w:tcPr>
          <w:p w14:paraId="3DCEBD2B" w14:textId="77777777" w:rsidR="00AB761B" w:rsidRPr="004227C8" w:rsidRDefault="00AB761B" w:rsidP="00AB761B">
            <w:pPr>
              <w:rPr>
                <w:sz w:val="18"/>
                <w:szCs w:val="18"/>
              </w:rPr>
            </w:pPr>
            <w:r w:rsidRPr="004227C8">
              <w:rPr>
                <w:sz w:val="18"/>
                <w:szCs w:val="18"/>
              </w:rPr>
              <w:t>Capital Infrastructure Programme Delivery</w:t>
            </w:r>
          </w:p>
        </w:tc>
        <w:tc>
          <w:tcPr>
            <w:tcW w:w="1843" w:type="dxa"/>
            <w:shd w:val="clear" w:color="auto" w:fill="FF0000"/>
          </w:tcPr>
          <w:p w14:paraId="3F3BEFF7" w14:textId="77777777" w:rsidR="00AB761B" w:rsidRPr="004227C8" w:rsidRDefault="00AB761B" w:rsidP="00AB761B">
            <w:pPr>
              <w:jc w:val="center"/>
              <w:rPr>
                <w:sz w:val="18"/>
                <w:szCs w:val="18"/>
              </w:rPr>
            </w:pPr>
            <w:r>
              <w:rPr>
                <w:sz w:val="18"/>
                <w:szCs w:val="18"/>
              </w:rPr>
              <w:t>20 High</w:t>
            </w:r>
            <w:r w:rsidRPr="003C70E1">
              <w:rPr>
                <w:sz w:val="18"/>
                <w:szCs w:val="18"/>
              </w:rPr>
              <w:t xml:space="preserve"> Risk</w:t>
            </w:r>
          </w:p>
        </w:tc>
        <w:tc>
          <w:tcPr>
            <w:tcW w:w="2410" w:type="dxa"/>
          </w:tcPr>
          <w:p w14:paraId="7971AC4C" w14:textId="21040235" w:rsidR="00AB761B" w:rsidRPr="00776028" w:rsidRDefault="00AB761B" w:rsidP="00AB761B">
            <w:pPr>
              <w:ind w:left="141"/>
              <w:rPr>
                <w:color w:val="FF0000"/>
                <w:sz w:val="18"/>
                <w:szCs w:val="18"/>
              </w:rPr>
            </w:pPr>
            <w:r w:rsidRPr="00566892">
              <w:rPr>
                <w:sz w:val="18"/>
                <w:szCs w:val="18"/>
              </w:rPr>
              <w:t>Risk reviewed and updated</w:t>
            </w:r>
          </w:p>
        </w:tc>
      </w:tr>
      <w:tr w:rsidR="00AB761B" w:rsidRPr="00776028" w14:paraId="1A3FF512" w14:textId="77777777" w:rsidTr="00AB761B">
        <w:trPr>
          <w:trHeight w:hRule="exact" w:val="322"/>
          <w:jc w:val="center"/>
        </w:trPr>
        <w:tc>
          <w:tcPr>
            <w:tcW w:w="3964" w:type="dxa"/>
          </w:tcPr>
          <w:p w14:paraId="2BB2C2C4" w14:textId="77777777" w:rsidR="00AB761B" w:rsidRPr="003C70E1" w:rsidRDefault="00AB761B" w:rsidP="00AB761B">
            <w:pPr>
              <w:rPr>
                <w:sz w:val="18"/>
                <w:szCs w:val="18"/>
              </w:rPr>
            </w:pPr>
            <w:r w:rsidRPr="003C70E1">
              <w:rPr>
                <w:sz w:val="18"/>
                <w:szCs w:val="18"/>
              </w:rPr>
              <w:t>Local resilience, community resilience, cohesion</w:t>
            </w:r>
          </w:p>
        </w:tc>
        <w:tc>
          <w:tcPr>
            <w:tcW w:w="1843" w:type="dxa"/>
            <w:shd w:val="clear" w:color="auto" w:fill="92D050"/>
          </w:tcPr>
          <w:p w14:paraId="03E6A9C1" w14:textId="77777777" w:rsidR="00AB761B" w:rsidRPr="003C70E1" w:rsidRDefault="00AB761B" w:rsidP="00AB761B">
            <w:pPr>
              <w:jc w:val="center"/>
              <w:rPr>
                <w:sz w:val="18"/>
                <w:szCs w:val="18"/>
              </w:rPr>
            </w:pPr>
            <w:r w:rsidRPr="003C70E1">
              <w:rPr>
                <w:sz w:val="18"/>
                <w:szCs w:val="18"/>
              </w:rPr>
              <w:t>8 Low Risk</w:t>
            </w:r>
          </w:p>
        </w:tc>
        <w:tc>
          <w:tcPr>
            <w:tcW w:w="2410" w:type="dxa"/>
          </w:tcPr>
          <w:p w14:paraId="430B0EB4" w14:textId="31D565C6" w:rsidR="00AB761B" w:rsidRPr="00776028" w:rsidRDefault="00AB761B" w:rsidP="00AB761B">
            <w:pPr>
              <w:ind w:left="141"/>
              <w:rPr>
                <w:color w:val="FF0000"/>
                <w:sz w:val="18"/>
                <w:szCs w:val="18"/>
              </w:rPr>
            </w:pPr>
            <w:r w:rsidRPr="00566892">
              <w:rPr>
                <w:sz w:val="18"/>
                <w:szCs w:val="18"/>
              </w:rPr>
              <w:t>Risk reviewed and updated</w:t>
            </w:r>
          </w:p>
        </w:tc>
      </w:tr>
      <w:tr w:rsidR="00AB761B" w:rsidRPr="00776028" w14:paraId="4A057FD8" w14:textId="77777777" w:rsidTr="00AB761B">
        <w:trPr>
          <w:trHeight w:hRule="exact" w:val="271"/>
          <w:jc w:val="center"/>
        </w:trPr>
        <w:tc>
          <w:tcPr>
            <w:tcW w:w="3964" w:type="dxa"/>
          </w:tcPr>
          <w:p w14:paraId="5AAD95EC" w14:textId="77777777" w:rsidR="00AB761B" w:rsidRPr="003C70E1" w:rsidRDefault="00AB761B" w:rsidP="00AB761B">
            <w:pPr>
              <w:rPr>
                <w:sz w:val="18"/>
                <w:szCs w:val="18"/>
              </w:rPr>
            </w:pPr>
            <w:r w:rsidRPr="003C70E1">
              <w:rPr>
                <w:sz w:val="18"/>
                <w:szCs w:val="18"/>
              </w:rPr>
              <w:t>Management of partnerships (non- commercial)</w:t>
            </w:r>
          </w:p>
        </w:tc>
        <w:tc>
          <w:tcPr>
            <w:tcW w:w="1843" w:type="dxa"/>
            <w:shd w:val="clear" w:color="auto" w:fill="92D050"/>
          </w:tcPr>
          <w:p w14:paraId="505D61CA" w14:textId="77777777" w:rsidR="00AB761B" w:rsidRPr="003C70E1" w:rsidRDefault="00AB761B" w:rsidP="00AB761B">
            <w:pPr>
              <w:jc w:val="center"/>
              <w:rPr>
                <w:sz w:val="18"/>
                <w:szCs w:val="18"/>
              </w:rPr>
            </w:pPr>
            <w:r>
              <w:rPr>
                <w:sz w:val="18"/>
                <w:szCs w:val="18"/>
              </w:rPr>
              <w:t>6</w:t>
            </w:r>
            <w:r w:rsidRPr="003C70E1">
              <w:rPr>
                <w:sz w:val="18"/>
                <w:szCs w:val="18"/>
              </w:rPr>
              <w:t xml:space="preserve"> Low Risk</w:t>
            </w:r>
          </w:p>
        </w:tc>
        <w:tc>
          <w:tcPr>
            <w:tcW w:w="2410" w:type="dxa"/>
          </w:tcPr>
          <w:p w14:paraId="297D612B" w14:textId="62AE3172" w:rsidR="00AB761B" w:rsidRPr="00776028" w:rsidRDefault="00AB761B" w:rsidP="00AB761B">
            <w:pPr>
              <w:ind w:left="141"/>
              <w:rPr>
                <w:color w:val="FF0000"/>
                <w:sz w:val="18"/>
                <w:szCs w:val="18"/>
              </w:rPr>
            </w:pPr>
            <w:r w:rsidRPr="00566892">
              <w:rPr>
                <w:sz w:val="18"/>
                <w:szCs w:val="18"/>
              </w:rPr>
              <w:t>Risk reviewed and updated</w:t>
            </w:r>
          </w:p>
        </w:tc>
      </w:tr>
      <w:tr w:rsidR="00AB761B" w:rsidRPr="00776028" w14:paraId="24F5E402" w14:textId="77777777" w:rsidTr="00AB761B">
        <w:trPr>
          <w:trHeight w:hRule="exact" w:val="364"/>
          <w:jc w:val="center"/>
        </w:trPr>
        <w:tc>
          <w:tcPr>
            <w:tcW w:w="3964" w:type="dxa"/>
          </w:tcPr>
          <w:p w14:paraId="1E543E19" w14:textId="77777777" w:rsidR="00AB761B" w:rsidRPr="004227C8" w:rsidRDefault="00AB761B" w:rsidP="00AB761B">
            <w:pPr>
              <w:rPr>
                <w:sz w:val="18"/>
                <w:szCs w:val="18"/>
              </w:rPr>
            </w:pPr>
            <w:r w:rsidRPr="004227C8">
              <w:rPr>
                <w:sz w:val="18"/>
                <w:szCs w:val="18"/>
              </w:rPr>
              <w:t>Supply chain management</w:t>
            </w:r>
          </w:p>
        </w:tc>
        <w:tc>
          <w:tcPr>
            <w:tcW w:w="1843" w:type="dxa"/>
            <w:shd w:val="clear" w:color="auto" w:fill="92D050"/>
          </w:tcPr>
          <w:p w14:paraId="20DF0E97" w14:textId="77777777" w:rsidR="00AB761B" w:rsidRPr="004227C8" w:rsidRDefault="00AB761B" w:rsidP="00AB761B">
            <w:pPr>
              <w:jc w:val="center"/>
              <w:rPr>
                <w:sz w:val="18"/>
                <w:szCs w:val="18"/>
              </w:rPr>
            </w:pPr>
            <w:r>
              <w:rPr>
                <w:sz w:val="18"/>
                <w:szCs w:val="18"/>
              </w:rPr>
              <w:t>9</w:t>
            </w:r>
            <w:r w:rsidRPr="004227C8">
              <w:rPr>
                <w:sz w:val="18"/>
                <w:szCs w:val="18"/>
              </w:rPr>
              <w:t xml:space="preserve"> </w:t>
            </w:r>
            <w:r>
              <w:rPr>
                <w:sz w:val="18"/>
                <w:szCs w:val="18"/>
              </w:rPr>
              <w:t>Low</w:t>
            </w:r>
            <w:r w:rsidRPr="004227C8">
              <w:rPr>
                <w:sz w:val="18"/>
                <w:szCs w:val="18"/>
              </w:rPr>
              <w:t xml:space="preserve"> Risk</w:t>
            </w:r>
          </w:p>
        </w:tc>
        <w:tc>
          <w:tcPr>
            <w:tcW w:w="2410" w:type="dxa"/>
          </w:tcPr>
          <w:p w14:paraId="283F719A" w14:textId="4FABDE6B" w:rsidR="00AB761B" w:rsidRPr="00776028" w:rsidRDefault="00AB761B" w:rsidP="00AB761B">
            <w:pPr>
              <w:ind w:left="141"/>
              <w:rPr>
                <w:color w:val="FF0000"/>
                <w:sz w:val="18"/>
                <w:szCs w:val="18"/>
              </w:rPr>
            </w:pPr>
            <w:r w:rsidRPr="00566892">
              <w:rPr>
                <w:sz w:val="18"/>
                <w:szCs w:val="18"/>
              </w:rPr>
              <w:t>Risk reviewed and updated</w:t>
            </w:r>
          </w:p>
        </w:tc>
      </w:tr>
      <w:tr w:rsidR="00AB761B" w:rsidRPr="00776028" w14:paraId="3D6F499B" w14:textId="77777777" w:rsidTr="00AB761B">
        <w:trPr>
          <w:trHeight w:hRule="exact" w:val="296"/>
          <w:jc w:val="center"/>
        </w:trPr>
        <w:tc>
          <w:tcPr>
            <w:tcW w:w="3964" w:type="dxa"/>
          </w:tcPr>
          <w:p w14:paraId="0A761AEF" w14:textId="77777777" w:rsidR="00AB761B" w:rsidRPr="003C70E1" w:rsidRDefault="00AB761B" w:rsidP="00AB761B">
            <w:pPr>
              <w:rPr>
                <w:sz w:val="18"/>
                <w:szCs w:val="18"/>
              </w:rPr>
            </w:pPr>
            <w:r w:rsidRPr="003C70E1">
              <w:rPr>
                <w:sz w:val="18"/>
                <w:szCs w:val="18"/>
              </w:rPr>
              <w:t>Corporate governance</w:t>
            </w:r>
          </w:p>
        </w:tc>
        <w:tc>
          <w:tcPr>
            <w:tcW w:w="1843" w:type="dxa"/>
            <w:shd w:val="clear" w:color="auto" w:fill="92D050"/>
          </w:tcPr>
          <w:p w14:paraId="6FF3EBE2" w14:textId="77777777" w:rsidR="00AB761B" w:rsidRPr="003C70E1" w:rsidRDefault="00AB761B" w:rsidP="00AB761B">
            <w:pPr>
              <w:jc w:val="center"/>
              <w:rPr>
                <w:sz w:val="18"/>
                <w:szCs w:val="18"/>
              </w:rPr>
            </w:pPr>
            <w:r>
              <w:rPr>
                <w:sz w:val="18"/>
                <w:szCs w:val="18"/>
              </w:rPr>
              <w:t>4</w:t>
            </w:r>
            <w:r w:rsidRPr="003C70E1">
              <w:rPr>
                <w:sz w:val="18"/>
                <w:szCs w:val="18"/>
              </w:rPr>
              <w:t xml:space="preserve"> Low Risk</w:t>
            </w:r>
          </w:p>
        </w:tc>
        <w:tc>
          <w:tcPr>
            <w:tcW w:w="2410" w:type="dxa"/>
          </w:tcPr>
          <w:p w14:paraId="7BAD2B9E" w14:textId="0F80A051" w:rsidR="00AB761B" w:rsidRPr="00776028" w:rsidRDefault="00AB761B" w:rsidP="00AB761B">
            <w:pPr>
              <w:ind w:left="141"/>
              <w:rPr>
                <w:color w:val="FF0000"/>
                <w:sz w:val="18"/>
                <w:szCs w:val="18"/>
              </w:rPr>
            </w:pPr>
            <w:r w:rsidRPr="00566892">
              <w:rPr>
                <w:sz w:val="18"/>
                <w:szCs w:val="18"/>
              </w:rPr>
              <w:t>Risk reviewed and updated</w:t>
            </w:r>
          </w:p>
        </w:tc>
      </w:tr>
      <w:tr w:rsidR="00AB761B" w:rsidRPr="00776028" w14:paraId="37862E78" w14:textId="77777777" w:rsidTr="00AB761B">
        <w:trPr>
          <w:trHeight w:hRule="exact" w:val="315"/>
          <w:jc w:val="center"/>
        </w:trPr>
        <w:tc>
          <w:tcPr>
            <w:tcW w:w="3964" w:type="dxa"/>
          </w:tcPr>
          <w:p w14:paraId="2BADB809" w14:textId="77777777" w:rsidR="00AB761B" w:rsidRPr="003C70E1" w:rsidRDefault="00AB761B" w:rsidP="00AB761B">
            <w:pPr>
              <w:rPr>
                <w:sz w:val="18"/>
                <w:szCs w:val="18"/>
              </w:rPr>
            </w:pPr>
            <w:r w:rsidRPr="003C70E1">
              <w:rPr>
                <w:sz w:val="18"/>
                <w:szCs w:val="18"/>
              </w:rPr>
              <w:t>Workforce management</w:t>
            </w:r>
          </w:p>
        </w:tc>
        <w:tc>
          <w:tcPr>
            <w:tcW w:w="1843" w:type="dxa"/>
            <w:shd w:val="clear" w:color="auto" w:fill="FFC000"/>
          </w:tcPr>
          <w:p w14:paraId="4279EC8A" w14:textId="77777777" w:rsidR="00AB761B" w:rsidRPr="003C70E1" w:rsidRDefault="00AB761B" w:rsidP="00AB761B">
            <w:pPr>
              <w:jc w:val="center"/>
              <w:rPr>
                <w:sz w:val="18"/>
                <w:szCs w:val="18"/>
              </w:rPr>
            </w:pPr>
            <w:r>
              <w:rPr>
                <w:sz w:val="18"/>
                <w:szCs w:val="18"/>
              </w:rPr>
              <w:t>12</w:t>
            </w:r>
            <w:r w:rsidRPr="003C70E1">
              <w:rPr>
                <w:sz w:val="18"/>
                <w:szCs w:val="18"/>
              </w:rPr>
              <w:t xml:space="preserve"> Medium Risk</w:t>
            </w:r>
          </w:p>
        </w:tc>
        <w:tc>
          <w:tcPr>
            <w:tcW w:w="2410" w:type="dxa"/>
          </w:tcPr>
          <w:p w14:paraId="5A74379B" w14:textId="5492F70D" w:rsidR="00AB761B" w:rsidRPr="00776028" w:rsidRDefault="00AB761B" w:rsidP="00AB761B">
            <w:pPr>
              <w:ind w:left="141"/>
              <w:rPr>
                <w:color w:val="FF0000"/>
                <w:sz w:val="18"/>
                <w:szCs w:val="18"/>
              </w:rPr>
            </w:pPr>
            <w:r w:rsidRPr="00566892">
              <w:rPr>
                <w:sz w:val="18"/>
                <w:szCs w:val="18"/>
              </w:rPr>
              <w:t>Risk reviewed and updated</w:t>
            </w:r>
          </w:p>
        </w:tc>
      </w:tr>
      <w:tr w:rsidR="00AB761B" w:rsidRPr="00776028" w14:paraId="60652D8A" w14:textId="77777777" w:rsidTr="00AB761B">
        <w:trPr>
          <w:trHeight w:hRule="exact" w:val="265"/>
          <w:jc w:val="center"/>
        </w:trPr>
        <w:tc>
          <w:tcPr>
            <w:tcW w:w="3964" w:type="dxa"/>
          </w:tcPr>
          <w:p w14:paraId="01986603" w14:textId="77777777" w:rsidR="00AB761B" w:rsidRPr="003C70E1" w:rsidRDefault="00AB761B" w:rsidP="00AB761B">
            <w:pPr>
              <w:rPr>
                <w:sz w:val="18"/>
                <w:szCs w:val="18"/>
              </w:rPr>
            </w:pPr>
            <w:r w:rsidRPr="003C70E1">
              <w:rPr>
                <w:sz w:val="18"/>
                <w:szCs w:val="18"/>
              </w:rPr>
              <w:t>Organisational Change and Service Design</w:t>
            </w:r>
          </w:p>
        </w:tc>
        <w:tc>
          <w:tcPr>
            <w:tcW w:w="1843" w:type="dxa"/>
            <w:shd w:val="clear" w:color="auto" w:fill="FFC000"/>
          </w:tcPr>
          <w:p w14:paraId="4E8E2C19" w14:textId="77777777" w:rsidR="00AB761B" w:rsidRPr="003C70E1" w:rsidRDefault="00AB761B" w:rsidP="00AB761B">
            <w:pPr>
              <w:jc w:val="center"/>
              <w:rPr>
                <w:sz w:val="18"/>
                <w:szCs w:val="18"/>
              </w:rPr>
            </w:pPr>
            <w:r w:rsidRPr="003C70E1">
              <w:rPr>
                <w:sz w:val="18"/>
                <w:szCs w:val="18"/>
              </w:rPr>
              <w:t>12 Medium Risk</w:t>
            </w:r>
          </w:p>
        </w:tc>
        <w:tc>
          <w:tcPr>
            <w:tcW w:w="2410" w:type="dxa"/>
          </w:tcPr>
          <w:p w14:paraId="3F3E9EF7" w14:textId="251C8D55" w:rsidR="00AB761B" w:rsidRPr="00776028" w:rsidRDefault="00AB761B" w:rsidP="00AB761B">
            <w:pPr>
              <w:ind w:left="141"/>
              <w:rPr>
                <w:color w:val="FF0000"/>
                <w:sz w:val="18"/>
                <w:szCs w:val="18"/>
              </w:rPr>
            </w:pPr>
            <w:r w:rsidRPr="00566892">
              <w:rPr>
                <w:sz w:val="18"/>
                <w:szCs w:val="18"/>
              </w:rPr>
              <w:t>Risk reviewed and updated</w:t>
            </w:r>
          </w:p>
        </w:tc>
      </w:tr>
      <w:tr w:rsidR="00AB761B" w:rsidRPr="00776028" w14:paraId="5285E4AD" w14:textId="77777777" w:rsidTr="00AB761B">
        <w:trPr>
          <w:trHeight w:hRule="exact" w:val="318"/>
          <w:jc w:val="center"/>
        </w:trPr>
        <w:tc>
          <w:tcPr>
            <w:tcW w:w="3964" w:type="dxa"/>
          </w:tcPr>
          <w:p w14:paraId="6749C8A6" w14:textId="77777777" w:rsidR="00AB761B" w:rsidRPr="003C70E1" w:rsidRDefault="00AB761B" w:rsidP="00AB761B">
            <w:pPr>
              <w:rPr>
                <w:sz w:val="18"/>
                <w:szCs w:val="18"/>
              </w:rPr>
            </w:pPr>
            <w:r w:rsidRPr="003C70E1">
              <w:rPr>
                <w:sz w:val="18"/>
                <w:szCs w:val="18"/>
              </w:rPr>
              <w:t>Financial resilience</w:t>
            </w:r>
          </w:p>
        </w:tc>
        <w:tc>
          <w:tcPr>
            <w:tcW w:w="1843" w:type="dxa"/>
            <w:shd w:val="clear" w:color="auto" w:fill="FFC000"/>
          </w:tcPr>
          <w:p w14:paraId="14A381D7" w14:textId="77777777" w:rsidR="00AB761B" w:rsidRPr="003C70E1" w:rsidRDefault="00AB761B" w:rsidP="00AB761B">
            <w:pPr>
              <w:jc w:val="center"/>
              <w:rPr>
                <w:sz w:val="18"/>
                <w:szCs w:val="18"/>
              </w:rPr>
            </w:pPr>
            <w:r w:rsidRPr="003C70E1">
              <w:rPr>
                <w:sz w:val="18"/>
                <w:szCs w:val="18"/>
              </w:rPr>
              <w:t>10 Medium Risk</w:t>
            </w:r>
          </w:p>
        </w:tc>
        <w:tc>
          <w:tcPr>
            <w:tcW w:w="2410" w:type="dxa"/>
          </w:tcPr>
          <w:p w14:paraId="5FB8E068" w14:textId="5366C706" w:rsidR="00AB761B" w:rsidRPr="00776028" w:rsidRDefault="00AB761B" w:rsidP="00AB761B">
            <w:pPr>
              <w:ind w:left="141"/>
              <w:rPr>
                <w:sz w:val="18"/>
                <w:szCs w:val="18"/>
              </w:rPr>
            </w:pPr>
            <w:r w:rsidRPr="00566892">
              <w:rPr>
                <w:sz w:val="18"/>
                <w:szCs w:val="18"/>
              </w:rPr>
              <w:t>Risk reviewed and updated</w:t>
            </w:r>
          </w:p>
        </w:tc>
      </w:tr>
      <w:tr w:rsidR="00AB761B" w:rsidRPr="00776028" w14:paraId="59971391" w14:textId="77777777" w:rsidTr="00AB761B">
        <w:trPr>
          <w:trHeight w:hRule="exact" w:val="280"/>
          <w:jc w:val="center"/>
        </w:trPr>
        <w:tc>
          <w:tcPr>
            <w:tcW w:w="3964" w:type="dxa"/>
          </w:tcPr>
          <w:p w14:paraId="79182EFD" w14:textId="77777777" w:rsidR="00AB761B" w:rsidRPr="003C70E1" w:rsidRDefault="00AB761B" w:rsidP="00AB761B">
            <w:pPr>
              <w:rPr>
                <w:sz w:val="18"/>
                <w:szCs w:val="18"/>
              </w:rPr>
            </w:pPr>
            <w:r w:rsidRPr="003C70E1">
              <w:rPr>
                <w:sz w:val="18"/>
                <w:szCs w:val="18"/>
              </w:rPr>
              <w:t>Health and Safety</w:t>
            </w:r>
          </w:p>
        </w:tc>
        <w:tc>
          <w:tcPr>
            <w:tcW w:w="1843" w:type="dxa"/>
            <w:shd w:val="clear" w:color="auto" w:fill="92D050"/>
          </w:tcPr>
          <w:p w14:paraId="2FCF8AD6" w14:textId="77777777" w:rsidR="00AB761B" w:rsidRPr="003C70E1" w:rsidRDefault="00AB761B" w:rsidP="00AB761B">
            <w:pPr>
              <w:jc w:val="center"/>
              <w:rPr>
                <w:sz w:val="18"/>
                <w:szCs w:val="18"/>
              </w:rPr>
            </w:pPr>
            <w:r>
              <w:rPr>
                <w:sz w:val="18"/>
                <w:szCs w:val="18"/>
              </w:rPr>
              <w:t>6</w:t>
            </w:r>
            <w:r w:rsidRPr="003C70E1">
              <w:rPr>
                <w:sz w:val="18"/>
                <w:szCs w:val="18"/>
              </w:rPr>
              <w:t xml:space="preserve"> Low Risk</w:t>
            </w:r>
          </w:p>
        </w:tc>
        <w:tc>
          <w:tcPr>
            <w:tcW w:w="2410" w:type="dxa"/>
          </w:tcPr>
          <w:p w14:paraId="480DEF03" w14:textId="28EE2685" w:rsidR="00AB761B" w:rsidRPr="00776028" w:rsidRDefault="00AB761B" w:rsidP="00AB761B">
            <w:pPr>
              <w:ind w:left="141"/>
              <w:rPr>
                <w:color w:val="FF0000"/>
                <w:sz w:val="18"/>
                <w:szCs w:val="18"/>
              </w:rPr>
            </w:pPr>
            <w:r w:rsidRPr="00566892">
              <w:rPr>
                <w:sz w:val="18"/>
                <w:szCs w:val="18"/>
              </w:rPr>
              <w:t>Risk reviewed and updated</w:t>
            </w:r>
          </w:p>
        </w:tc>
      </w:tr>
      <w:tr w:rsidR="00AB761B" w:rsidRPr="00776028" w14:paraId="41922CC8" w14:textId="77777777" w:rsidTr="00AB761B">
        <w:trPr>
          <w:trHeight w:hRule="exact" w:val="257"/>
          <w:jc w:val="center"/>
        </w:trPr>
        <w:tc>
          <w:tcPr>
            <w:tcW w:w="3964" w:type="dxa"/>
          </w:tcPr>
          <w:p w14:paraId="253F14C9" w14:textId="77777777" w:rsidR="00AB761B" w:rsidRPr="003C70E1" w:rsidRDefault="00AB761B" w:rsidP="007F5D92">
            <w:pPr>
              <w:rPr>
                <w:sz w:val="18"/>
                <w:szCs w:val="18"/>
              </w:rPr>
            </w:pPr>
            <w:r w:rsidRPr="003C70E1">
              <w:rPr>
                <w:sz w:val="18"/>
                <w:szCs w:val="18"/>
              </w:rPr>
              <w:t>Business Continuity and recovery plans</w:t>
            </w:r>
          </w:p>
        </w:tc>
        <w:tc>
          <w:tcPr>
            <w:tcW w:w="1843" w:type="dxa"/>
            <w:shd w:val="clear" w:color="auto" w:fill="92D050"/>
          </w:tcPr>
          <w:p w14:paraId="000D19CC" w14:textId="77777777" w:rsidR="00AB761B" w:rsidRPr="003C70E1" w:rsidRDefault="00AB761B" w:rsidP="007F5D92">
            <w:pPr>
              <w:jc w:val="center"/>
              <w:rPr>
                <w:sz w:val="18"/>
                <w:szCs w:val="18"/>
              </w:rPr>
            </w:pPr>
            <w:r>
              <w:rPr>
                <w:sz w:val="18"/>
                <w:szCs w:val="18"/>
              </w:rPr>
              <w:t>9 Medium Risk</w:t>
            </w:r>
          </w:p>
        </w:tc>
        <w:tc>
          <w:tcPr>
            <w:tcW w:w="2410" w:type="dxa"/>
          </w:tcPr>
          <w:p w14:paraId="11A3521F" w14:textId="467916C5" w:rsidR="00AB761B" w:rsidRPr="00776028" w:rsidRDefault="00AB761B" w:rsidP="007F5D92">
            <w:pPr>
              <w:ind w:left="139"/>
              <w:rPr>
                <w:color w:val="FF0000"/>
                <w:sz w:val="18"/>
                <w:szCs w:val="18"/>
              </w:rPr>
            </w:pPr>
            <w:r w:rsidRPr="00776028">
              <w:rPr>
                <w:sz w:val="18"/>
                <w:szCs w:val="18"/>
              </w:rPr>
              <w:t>Risk</w:t>
            </w:r>
            <w:r>
              <w:rPr>
                <w:sz w:val="18"/>
                <w:szCs w:val="18"/>
              </w:rPr>
              <w:t xml:space="preserve"> reviewed and updated</w:t>
            </w:r>
          </w:p>
        </w:tc>
      </w:tr>
      <w:tr w:rsidR="00AB761B" w:rsidRPr="00776028" w14:paraId="39542E64" w14:textId="77777777" w:rsidTr="00AB761B">
        <w:trPr>
          <w:trHeight w:hRule="exact" w:val="290"/>
          <w:jc w:val="center"/>
        </w:trPr>
        <w:tc>
          <w:tcPr>
            <w:tcW w:w="3964" w:type="dxa"/>
          </w:tcPr>
          <w:p w14:paraId="0C21AA08" w14:textId="77777777" w:rsidR="00AB761B" w:rsidRPr="003C70E1" w:rsidRDefault="00AB761B" w:rsidP="007F5D92">
            <w:pPr>
              <w:rPr>
                <w:sz w:val="18"/>
                <w:szCs w:val="18"/>
              </w:rPr>
            </w:pPr>
            <w:r w:rsidRPr="003C70E1">
              <w:rPr>
                <w:sz w:val="18"/>
                <w:szCs w:val="18"/>
              </w:rPr>
              <w:t>Cyber security</w:t>
            </w:r>
          </w:p>
        </w:tc>
        <w:tc>
          <w:tcPr>
            <w:tcW w:w="1843" w:type="dxa"/>
            <w:shd w:val="clear" w:color="auto" w:fill="FFC000"/>
          </w:tcPr>
          <w:p w14:paraId="0284B712" w14:textId="77777777" w:rsidR="00AB761B" w:rsidRPr="003C70E1" w:rsidRDefault="00AB761B" w:rsidP="007F5D92">
            <w:pPr>
              <w:jc w:val="center"/>
              <w:rPr>
                <w:sz w:val="18"/>
                <w:szCs w:val="18"/>
              </w:rPr>
            </w:pPr>
            <w:r w:rsidRPr="003C70E1">
              <w:rPr>
                <w:sz w:val="18"/>
                <w:szCs w:val="18"/>
              </w:rPr>
              <w:t>1</w:t>
            </w:r>
            <w:r>
              <w:rPr>
                <w:sz w:val="18"/>
                <w:szCs w:val="18"/>
              </w:rPr>
              <w:t>5</w:t>
            </w:r>
            <w:r w:rsidRPr="003C70E1">
              <w:rPr>
                <w:sz w:val="18"/>
                <w:szCs w:val="18"/>
              </w:rPr>
              <w:t xml:space="preserve"> Medium Risk</w:t>
            </w:r>
          </w:p>
        </w:tc>
        <w:tc>
          <w:tcPr>
            <w:tcW w:w="2410" w:type="dxa"/>
          </w:tcPr>
          <w:p w14:paraId="386FEFED" w14:textId="66E59C38" w:rsidR="00AB761B" w:rsidRPr="00776028" w:rsidRDefault="00AB761B" w:rsidP="007F5D92">
            <w:pPr>
              <w:ind w:left="141"/>
              <w:rPr>
                <w:color w:val="FF0000"/>
                <w:sz w:val="18"/>
                <w:szCs w:val="18"/>
              </w:rPr>
            </w:pPr>
            <w:r w:rsidRPr="00776028">
              <w:rPr>
                <w:sz w:val="18"/>
                <w:szCs w:val="18"/>
              </w:rPr>
              <w:t>Risk</w:t>
            </w:r>
            <w:r>
              <w:rPr>
                <w:sz w:val="18"/>
                <w:szCs w:val="18"/>
              </w:rPr>
              <w:t xml:space="preserve"> reviewed and updated</w:t>
            </w:r>
          </w:p>
        </w:tc>
      </w:tr>
      <w:tr w:rsidR="00AB761B" w:rsidRPr="00776028" w14:paraId="2937BA70" w14:textId="77777777" w:rsidTr="00AB761B">
        <w:trPr>
          <w:trHeight w:hRule="exact" w:val="403"/>
          <w:jc w:val="center"/>
        </w:trPr>
        <w:tc>
          <w:tcPr>
            <w:tcW w:w="3964" w:type="dxa"/>
            <w:vAlign w:val="center"/>
          </w:tcPr>
          <w:p w14:paraId="12389154" w14:textId="77777777" w:rsidR="00AB761B" w:rsidRPr="004227C8" w:rsidRDefault="00AB761B" w:rsidP="00AB761B">
            <w:pPr>
              <w:rPr>
                <w:sz w:val="18"/>
                <w:szCs w:val="18"/>
              </w:rPr>
            </w:pPr>
            <w:r w:rsidRPr="004227C8">
              <w:rPr>
                <w:sz w:val="18"/>
                <w:szCs w:val="18"/>
              </w:rPr>
              <w:t>Construction, Resources and Skills Shortages</w:t>
            </w:r>
          </w:p>
        </w:tc>
        <w:tc>
          <w:tcPr>
            <w:tcW w:w="1843" w:type="dxa"/>
            <w:shd w:val="clear" w:color="auto" w:fill="FF0000"/>
            <w:vAlign w:val="center"/>
          </w:tcPr>
          <w:p w14:paraId="1F2C05FB" w14:textId="77777777" w:rsidR="00AB761B" w:rsidRPr="004227C8" w:rsidRDefault="00AB761B" w:rsidP="00AB761B">
            <w:pPr>
              <w:jc w:val="center"/>
              <w:rPr>
                <w:sz w:val="18"/>
                <w:szCs w:val="18"/>
              </w:rPr>
            </w:pPr>
            <w:r w:rsidRPr="004227C8">
              <w:rPr>
                <w:sz w:val="18"/>
                <w:szCs w:val="18"/>
              </w:rPr>
              <w:t>16 High Risk</w:t>
            </w:r>
          </w:p>
        </w:tc>
        <w:tc>
          <w:tcPr>
            <w:tcW w:w="2410" w:type="dxa"/>
          </w:tcPr>
          <w:p w14:paraId="76EE2614" w14:textId="7B00DF79" w:rsidR="00AB761B" w:rsidRPr="00776028" w:rsidRDefault="00AB761B" w:rsidP="00AB761B">
            <w:pPr>
              <w:ind w:left="141"/>
              <w:rPr>
                <w:color w:val="FF0000"/>
                <w:sz w:val="18"/>
                <w:szCs w:val="18"/>
              </w:rPr>
            </w:pPr>
            <w:r w:rsidRPr="00010CC8">
              <w:rPr>
                <w:sz w:val="18"/>
                <w:szCs w:val="18"/>
              </w:rPr>
              <w:t>Risk reviewed and updated</w:t>
            </w:r>
          </w:p>
        </w:tc>
      </w:tr>
      <w:tr w:rsidR="00AB761B" w:rsidRPr="00776028" w14:paraId="51A3C23B" w14:textId="77777777" w:rsidTr="00AB761B">
        <w:trPr>
          <w:trHeight w:hRule="exact" w:val="562"/>
          <w:jc w:val="center"/>
        </w:trPr>
        <w:tc>
          <w:tcPr>
            <w:tcW w:w="3964" w:type="dxa"/>
            <w:vAlign w:val="center"/>
          </w:tcPr>
          <w:p w14:paraId="200447BD" w14:textId="77777777" w:rsidR="00AB761B" w:rsidRPr="003C70E1" w:rsidRDefault="00AB761B" w:rsidP="00AB761B">
            <w:pPr>
              <w:rPr>
                <w:sz w:val="18"/>
                <w:szCs w:val="18"/>
              </w:rPr>
            </w:pPr>
            <w:r w:rsidRPr="003C70E1">
              <w:rPr>
                <w:sz w:val="18"/>
                <w:szCs w:val="18"/>
              </w:rPr>
              <w:t>Deprivation of Liberty Authorisations (Care Homes and Community)</w:t>
            </w:r>
          </w:p>
        </w:tc>
        <w:tc>
          <w:tcPr>
            <w:tcW w:w="1843" w:type="dxa"/>
            <w:shd w:val="clear" w:color="auto" w:fill="FFC000" w:themeFill="accent4"/>
            <w:vAlign w:val="center"/>
          </w:tcPr>
          <w:p w14:paraId="5F40D555" w14:textId="77777777" w:rsidR="00AB761B" w:rsidRPr="003C70E1" w:rsidRDefault="00AB761B" w:rsidP="00AB761B">
            <w:pPr>
              <w:jc w:val="center"/>
              <w:rPr>
                <w:sz w:val="18"/>
                <w:szCs w:val="18"/>
              </w:rPr>
            </w:pPr>
            <w:r w:rsidRPr="003C70E1">
              <w:rPr>
                <w:sz w:val="18"/>
                <w:szCs w:val="18"/>
              </w:rPr>
              <w:t>1</w:t>
            </w:r>
            <w:r>
              <w:rPr>
                <w:sz w:val="18"/>
                <w:szCs w:val="18"/>
              </w:rPr>
              <w:t>2</w:t>
            </w:r>
            <w:r w:rsidRPr="003C70E1">
              <w:rPr>
                <w:sz w:val="18"/>
                <w:szCs w:val="18"/>
              </w:rPr>
              <w:t xml:space="preserve"> Medium Risk</w:t>
            </w:r>
          </w:p>
        </w:tc>
        <w:tc>
          <w:tcPr>
            <w:tcW w:w="2410" w:type="dxa"/>
          </w:tcPr>
          <w:p w14:paraId="5544F625" w14:textId="6B8A1054" w:rsidR="00AB761B" w:rsidRPr="00776028" w:rsidRDefault="00AB761B" w:rsidP="00AB761B">
            <w:pPr>
              <w:ind w:left="141"/>
              <w:rPr>
                <w:sz w:val="18"/>
                <w:szCs w:val="18"/>
              </w:rPr>
            </w:pPr>
            <w:r w:rsidRPr="00010CC8">
              <w:rPr>
                <w:sz w:val="18"/>
                <w:szCs w:val="18"/>
              </w:rPr>
              <w:t>Risk reviewed and updated</w:t>
            </w:r>
          </w:p>
        </w:tc>
      </w:tr>
      <w:tr w:rsidR="00AB761B" w:rsidRPr="00776028" w14:paraId="42B8F5F9" w14:textId="77777777" w:rsidTr="00AB761B">
        <w:trPr>
          <w:trHeight w:hRule="exact" w:val="564"/>
          <w:jc w:val="center"/>
        </w:trPr>
        <w:tc>
          <w:tcPr>
            <w:tcW w:w="3964" w:type="dxa"/>
            <w:vAlign w:val="center"/>
          </w:tcPr>
          <w:p w14:paraId="69733DEF" w14:textId="77777777" w:rsidR="00AB761B" w:rsidRPr="003C70E1" w:rsidRDefault="00AB761B" w:rsidP="00AB761B">
            <w:pPr>
              <w:rPr>
                <w:sz w:val="18"/>
                <w:szCs w:val="18"/>
              </w:rPr>
            </w:pPr>
            <w:r w:rsidRPr="004B4380">
              <w:rPr>
                <w:sz w:val="18"/>
                <w:szCs w:val="18"/>
              </w:rPr>
              <w:t>HIF1 Didcot Garden Town Major Infrastructure Programme</w:t>
            </w:r>
          </w:p>
        </w:tc>
        <w:tc>
          <w:tcPr>
            <w:tcW w:w="1843" w:type="dxa"/>
            <w:shd w:val="clear" w:color="auto" w:fill="FF0000"/>
            <w:vAlign w:val="center"/>
          </w:tcPr>
          <w:p w14:paraId="051BE92C" w14:textId="77777777" w:rsidR="00AB761B" w:rsidRPr="003C70E1" w:rsidRDefault="00AB761B" w:rsidP="00AB761B">
            <w:pPr>
              <w:jc w:val="center"/>
              <w:rPr>
                <w:sz w:val="18"/>
                <w:szCs w:val="18"/>
              </w:rPr>
            </w:pPr>
            <w:r>
              <w:rPr>
                <w:sz w:val="18"/>
                <w:szCs w:val="18"/>
              </w:rPr>
              <w:t>20</w:t>
            </w:r>
            <w:r w:rsidRPr="0078330D">
              <w:rPr>
                <w:sz w:val="18"/>
                <w:szCs w:val="18"/>
              </w:rPr>
              <w:t xml:space="preserve"> </w:t>
            </w:r>
            <w:r>
              <w:rPr>
                <w:sz w:val="18"/>
                <w:szCs w:val="18"/>
              </w:rPr>
              <w:t>High</w:t>
            </w:r>
            <w:r w:rsidRPr="0078330D">
              <w:rPr>
                <w:sz w:val="18"/>
                <w:szCs w:val="18"/>
              </w:rPr>
              <w:t xml:space="preserve"> Risk</w:t>
            </w:r>
          </w:p>
        </w:tc>
        <w:tc>
          <w:tcPr>
            <w:tcW w:w="2410" w:type="dxa"/>
          </w:tcPr>
          <w:p w14:paraId="1ACCED51" w14:textId="2AA14B98" w:rsidR="00AB761B" w:rsidRPr="00776028" w:rsidRDefault="00AB761B" w:rsidP="00AB761B">
            <w:pPr>
              <w:ind w:left="141"/>
              <w:rPr>
                <w:sz w:val="18"/>
                <w:szCs w:val="18"/>
              </w:rPr>
            </w:pPr>
            <w:r w:rsidRPr="00010CC8">
              <w:rPr>
                <w:sz w:val="18"/>
                <w:szCs w:val="18"/>
              </w:rPr>
              <w:t>Risk reviewed and updated</w:t>
            </w:r>
          </w:p>
        </w:tc>
      </w:tr>
    </w:tbl>
    <w:p w14:paraId="01EDFEEF" w14:textId="4AB57058" w:rsidR="00846464" w:rsidRDefault="00846464" w:rsidP="00AB761B">
      <w:pPr>
        <w:widowControl/>
        <w:autoSpaceDE/>
        <w:autoSpaceDN/>
      </w:pPr>
    </w:p>
    <w:p w14:paraId="3ADD2509" w14:textId="50118ADB" w:rsidR="00060095" w:rsidRDefault="00F768C9" w:rsidP="00060095">
      <w:pPr>
        <w:ind w:hanging="284"/>
        <w:rPr>
          <w:b/>
          <w:bCs/>
          <w:sz w:val="28"/>
          <w:szCs w:val="28"/>
          <w:u w:val="single"/>
        </w:rPr>
      </w:pPr>
      <w:r w:rsidRPr="004C1FCE">
        <w:rPr>
          <w:b/>
          <w:bCs/>
          <w:sz w:val="28"/>
          <w:szCs w:val="28"/>
          <w:u w:val="single"/>
        </w:rPr>
        <w:t>Financial Management</w:t>
      </w:r>
      <w:r w:rsidR="00060095" w:rsidRPr="004C1FCE">
        <w:rPr>
          <w:b/>
          <w:bCs/>
          <w:sz w:val="28"/>
          <w:szCs w:val="28"/>
          <w:u w:val="single"/>
        </w:rPr>
        <w:t xml:space="preserve"> </w:t>
      </w:r>
    </w:p>
    <w:p w14:paraId="4C08E107" w14:textId="77777777" w:rsidR="008949D6" w:rsidRPr="004C1FCE" w:rsidRDefault="008949D6" w:rsidP="00060095">
      <w:pPr>
        <w:ind w:hanging="284"/>
        <w:rPr>
          <w:b/>
          <w:bCs/>
          <w:sz w:val="28"/>
          <w:szCs w:val="28"/>
          <w:u w:val="single"/>
        </w:rPr>
      </w:pPr>
    </w:p>
    <w:p w14:paraId="68C88A38" w14:textId="77777777" w:rsidR="00D37D86" w:rsidRPr="00095FCA" w:rsidRDefault="00D37D86" w:rsidP="00910DB5">
      <w:pPr>
        <w:pStyle w:val="ListParagraph"/>
        <w:widowControl/>
        <w:numPr>
          <w:ilvl w:val="0"/>
          <w:numId w:val="37"/>
        </w:numPr>
        <w:autoSpaceDE/>
        <w:autoSpaceDN/>
        <w:rPr>
          <w:sz w:val="24"/>
          <w:szCs w:val="24"/>
        </w:rPr>
      </w:pPr>
      <w:r w:rsidRPr="00095FCA">
        <w:rPr>
          <w:sz w:val="24"/>
          <w:szCs w:val="24"/>
        </w:rPr>
        <w:t xml:space="preserve">This report is the second financial monitoring update for the 2022/23 financial year and is based on the period up to July 2022. </w:t>
      </w:r>
    </w:p>
    <w:p w14:paraId="706B7DA1" w14:textId="77777777" w:rsidR="00D37D86" w:rsidRPr="00095FCA" w:rsidRDefault="00D37D86" w:rsidP="00D37D86">
      <w:pPr>
        <w:pStyle w:val="ListParagraph"/>
        <w:widowControl/>
        <w:autoSpaceDE/>
        <w:autoSpaceDN/>
        <w:ind w:left="720" w:firstLine="0"/>
        <w:rPr>
          <w:sz w:val="24"/>
          <w:szCs w:val="24"/>
        </w:rPr>
      </w:pPr>
    </w:p>
    <w:p w14:paraId="66BF69EB" w14:textId="77777777" w:rsidR="00D37D86" w:rsidRDefault="00D37D86" w:rsidP="00910DB5">
      <w:pPr>
        <w:pStyle w:val="ListParagraph"/>
        <w:widowControl/>
        <w:numPr>
          <w:ilvl w:val="0"/>
          <w:numId w:val="37"/>
        </w:numPr>
        <w:autoSpaceDE/>
        <w:autoSpaceDN/>
        <w:rPr>
          <w:sz w:val="24"/>
          <w:szCs w:val="24"/>
        </w:rPr>
      </w:pPr>
      <w:r w:rsidRPr="00095FCA">
        <w:rPr>
          <w:sz w:val="24"/>
          <w:szCs w:val="24"/>
        </w:rPr>
        <w:t>There is a forecast Directorate overspend of £</w:t>
      </w:r>
      <w:r>
        <w:rPr>
          <w:sz w:val="24"/>
          <w:szCs w:val="24"/>
        </w:rPr>
        <w:t>7.2</w:t>
      </w:r>
      <w:r w:rsidRPr="00095FCA">
        <w:rPr>
          <w:sz w:val="24"/>
          <w:szCs w:val="24"/>
        </w:rPr>
        <w:t>m or 1.</w:t>
      </w:r>
      <w:r>
        <w:rPr>
          <w:sz w:val="24"/>
          <w:szCs w:val="24"/>
        </w:rPr>
        <w:t>4</w:t>
      </w:r>
      <w:r w:rsidRPr="00095FCA">
        <w:rPr>
          <w:sz w:val="24"/>
          <w:szCs w:val="24"/>
        </w:rPr>
        <w:t>%.  The overall forecast variation is £</w:t>
      </w:r>
      <w:r>
        <w:rPr>
          <w:sz w:val="24"/>
          <w:szCs w:val="24"/>
        </w:rPr>
        <w:t>5.9</w:t>
      </w:r>
      <w:r w:rsidRPr="00095FCA">
        <w:rPr>
          <w:sz w:val="24"/>
          <w:szCs w:val="24"/>
        </w:rPr>
        <w:t>m or 1.</w:t>
      </w:r>
      <w:r>
        <w:rPr>
          <w:sz w:val="24"/>
          <w:szCs w:val="24"/>
        </w:rPr>
        <w:t>1</w:t>
      </w:r>
      <w:r w:rsidRPr="00095FCA">
        <w:rPr>
          <w:sz w:val="24"/>
          <w:szCs w:val="24"/>
        </w:rPr>
        <w:t xml:space="preserve">% after taking account of an increase in interest receivable on balances held by the </w:t>
      </w:r>
      <w:r>
        <w:rPr>
          <w:sz w:val="24"/>
          <w:szCs w:val="24"/>
        </w:rPr>
        <w:t>council.</w:t>
      </w:r>
    </w:p>
    <w:p w14:paraId="584F53E1" w14:textId="77777777" w:rsidR="00D37D86" w:rsidRPr="00475FFA" w:rsidRDefault="00D37D86" w:rsidP="00D37D86">
      <w:pPr>
        <w:pStyle w:val="ListParagraph"/>
        <w:rPr>
          <w:sz w:val="24"/>
          <w:szCs w:val="24"/>
        </w:rPr>
      </w:pPr>
    </w:p>
    <w:p w14:paraId="7651D413" w14:textId="77777777" w:rsidR="00D37D86" w:rsidRDefault="00D37D86" w:rsidP="00910DB5">
      <w:pPr>
        <w:pStyle w:val="ListParagraph"/>
        <w:widowControl/>
        <w:numPr>
          <w:ilvl w:val="0"/>
          <w:numId w:val="37"/>
        </w:numPr>
        <w:autoSpaceDE/>
        <w:autoSpaceDN/>
        <w:rPr>
          <w:sz w:val="24"/>
          <w:szCs w:val="24"/>
        </w:rPr>
      </w:pPr>
      <w:r w:rsidRPr="00095FCA">
        <w:rPr>
          <w:sz w:val="24"/>
          <w:szCs w:val="24"/>
        </w:rPr>
        <w:t xml:space="preserve">As noted in the last report issues and volatility in the wider economy, including inflation and workforce shortages, have increased the risk to the financial position for the council and the overall landscape looks much more challenging than when the budget was set in February 2022 or compared to the same point in 2021/22. </w:t>
      </w:r>
    </w:p>
    <w:p w14:paraId="3C41C7FA" w14:textId="77777777" w:rsidR="00D37D86" w:rsidRPr="001803AC" w:rsidRDefault="00D37D86" w:rsidP="00D37D86">
      <w:pPr>
        <w:pStyle w:val="ListParagraph"/>
        <w:rPr>
          <w:sz w:val="24"/>
          <w:szCs w:val="24"/>
        </w:rPr>
      </w:pPr>
    </w:p>
    <w:p w14:paraId="42A18B07" w14:textId="77777777" w:rsidR="00D37D86" w:rsidRDefault="00D37D86" w:rsidP="00910DB5">
      <w:pPr>
        <w:pStyle w:val="ListParagraph"/>
        <w:widowControl/>
        <w:numPr>
          <w:ilvl w:val="0"/>
          <w:numId w:val="37"/>
        </w:numPr>
        <w:autoSpaceDE/>
        <w:autoSpaceDN/>
        <w:rPr>
          <w:sz w:val="24"/>
          <w:szCs w:val="24"/>
        </w:rPr>
      </w:pPr>
      <w:r w:rsidRPr="001803AC">
        <w:rPr>
          <w:sz w:val="24"/>
          <w:szCs w:val="24"/>
        </w:rPr>
        <w:t>Action is being taken to manage expenditure so that the forecast overspend reduces by year end.  An update will be provided in the next report</w:t>
      </w:r>
    </w:p>
    <w:p w14:paraId="4A5F50C7" w14:textId="77777777" w:rsidR="00D37D86" w:rsidRPr="00095FCA" w:rsidRDefault="00D37D86" w:rsidP="00D37D86">
      <w:pPr>
        <w:pStyle w:val="ListParagraph"/>
        <w:rPr>
          <w:sz w:val="24"/>
          <w:szCs w:val="24"/>
        </w:rPr>
      </w:pPr>
    </w:p>
    <w:tbl>
      <w:tblPr>
        <w:tblStyle w:val="TableGrid2"/>
        <w:tblW w:w="9923"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119"/>
        <w:gridCol w:w="1134"/>
        <w:gridCol w:w="1134"/>
        <w:gridCol w:w="1134"/>
        <w:gridCol w:w="1134"/>
        <w:gridCol w:w="1134"/>
        <w:gridCol w:w="1134"/>
      </w:tblGrid>
      <w:tr w:rsidR="00D37D86" w:rsidRPr="00B32C0C" w14:paraId="626A6335" w14:textId="77777777" w:rsidTr="00FC0C44">
        <w:trPr>
          <w:trHeight w:val="840"/>
        </w:trPr>
        <w:tc>
          <w:tcPr>
            <w:tcW w:w="3119" w:type="dxa"/>
            <w:shd w:val="clear" w:color="auto" w:fill="00483A"/>
          </w:tcPr>
          <w:p w14:paraId="45AAB5D7" w14:textId="77777777" w:rsidR="00D37D86" w:rsidRPr="00E70E7D" w:rsidRDefault="00D37D86" w:rsidP="00FC0C44">
            <w:pPr>
              <w:jc w:val="both"/>
              <w:rPr>
                <w:b/>
                <w:bCs/>
              </w:rPr>
            </w:pPr>
            <w:bookmarkStart w:id="8" w:name="_Hlk106725310"/>
            <w:r w:rsidRPr="00E70E7D">
              <w:rPr>
                <w:b/>
                <w:bCs/>
              </w:rPr>
              <w:lastRenderedPageBreak/>
              <w:t>Directorate</w:t>
            </w:r>
          </w:p>
        </w:tc>
        <w:tc>
          <w:tcPr>
            <w:tcW w:w="1134" w:type="dxa"/>
            <w:shd w:val="clear" w:color="auto" w:fill="00483A"/>
          </w:tcPr>
          <w:p w14:paraId="410EC0E3" w14:textId="77777777" w:rsidR="00D37D86" w:rsidRPr="00E70E7D" w:rsidRDefault="00D37D86" w:rsidP="00FC0C44">
            <w:pPr>
              <w:jc w:val="center"/>
              <w:rPr>
                <w:b/>
                <w:bCs/>
              </w:rPr>
            </w:pPr>
            <w:r w:rsidRPr="00E70E7D">
              <w:rPr>
                <w:b/>
                <w:bCs/>
              </w:rPr>
              <w:t>Latest Budget 2022/23</w:t>
            </w:r>
          </w:p>
          <w:p w14:paraId="6E0A9EC0" w14:textId="77777777" w:rsidR="00D37D86" w:rsidRPr="00E70E7D" w:rsidRDefault="00D37D86" w:rsidP="00FC0C44">
            <w:pPr>
              <w:jc w:val="center"/>
              <w:rPr>
                <w:b/>
                <w:bCs/>
              </w:rPr>
            </w:pPr>
            <w:r w:rsidRPr="00E70E7D">
              <w:rPr>
                <w:b/>
                <w:bCs/>
              </w:rPr>
              <w:t>£m</w:t>
            </w:r>
          </w:p>
        </w:tc>
        <w:tc>
          <w:tcPr>
            <w:tcW w:w="1134" w:type="dxa"/>
            <w:shd w:val="clear" w:color="auto" w:fill="00483A"/>
          </w:tcPr>
          <w:p w14:paraId="2879273C" w14:textId="77777777" w:rsidR="00D37D86" w:rsidRPr="00E70E7D" w:rsidRDefault="00D37D86" w:rsidP="00FC0C44">
            <w:pPr>
              <w:jc w:val="center"/>
              <w:rPr>
                <w:b/>
                <w:bCs/>
              </w:rPr>
            </w:pPr>
            <w:r w:rsidRPr="00E70E7D">
              <w:rPr>
                <w:b/>
                <w:bCs/>
              </w:rPr>
              <w:t>Forecast Spend</w:t>
            </w:r>
          </w:p>
          <w:p w14:paraId="4AE2E976" w14:textId="77777777" w:rsidR="00D37D86" w:rsidRPr="00E70E7D" w:rsidRDefault="00D37D86" w:rsidP="00FC0C44">
            <w:pPr>
              <w:jc w:val="center"/>
              <w:rPr>
                <w:b/>
                <w:bCs/>
              </w:rPr>
            </w:pPr>
            <w:r w:rsidRPr="00E70E7D">
              <w:rPr>
                <w:b/>
                <w:bCs/>
              </w:rPr>
              <w:t>2022/23</w:t>
            </w:r>
          </w:p>
          <w:p w14:paraId="7E232456" w14:textId="77777777" w:rsidR="00D37D86" w:rsidRPr="00E70E7D" w:rsidRDefault="00D37D86" w:rsidP="00FC0C44">
            <w:pPr>
              <w:jc w:val="center"/>
              <w:rPr>
                <w:b/>
                <w:bCs/>
              </w:rPr>
            </w:pPr>
            <w:r w:rsidRPr="00E70E7D">
              <w:rPr>
                <w:b/>
                <w:bCs/>
              </w:rPr>
              <w:t>£m</w:t>
            </w:r>
          </w:p>
        </w:tc>
        <w:tc>
          <w:tcPr>
            <w:tcW w:w="1134" w:type="dxa"/>
            <w:shd w:val="clear" w:color="auto" w:fill="00483A"/>
          </w:tcPr>
          <w:p w14:paraId="2535FA98" w14:textId="77777777" w:rsidR="00D37D86" w:rsidRPr="00E70E7D" w:rsidRDefault="00D37D86" w:rsidP="00FC0C44">
            <w:pPr>
              <w:jc w:val="center"/>
              <w:rPr>
                <w:b/>
                <w:bCs/>
              </w:rPr>
            </w:pPr>
            <w:r w:rsidRPr="00E70E7D">
              <w:rPr>
                <w:b/>
                <w:bCs/>
              </w:rPr>
              <w:t>Variance</w:t>
            </w:r>
          </w:p>
          <w:p w14:paraId="22DB5CBB" w14:textId="77777777" w:rsidR="00D37D86" w:rsidRPr="00E70E7D" w:rsidRDefault="00D37D86" w:rsidP="00FC0C44">
            <w:pPr>
              <w:jc w:val="center"/>
              <w:rPr>
                <w:b/>
                <w:bCs/>
              </w:rPr>
            </w:pPr>
            <w:r w:rsidRPr="00E70E7D">
              <w:rPr>
                <w:b/>
                <w:bCs/>
              </w:rPr>
              <w:t>July 2022</w:t>
            </w:r>
          </w:p>
          <w:p w14:paraId="54813EA9" w14:textId="77777777" w:rsidR="00D37D86" w:rsidRPr="00E70E7D" w:rsidRDefault="00D37D86" w:rsidP="00FC0C44">
            <w:pPr>
              <w:jc w:val="center"/>
              <w:rPr>
                <w:b/>
                <w:bCs/>
              </w:rPr>
            </w:pPr>
            <w:r w:rsidRPr="00E70E7D">
              <w:rPr>
                <w:b/>
                <w:bCs/>
              </w:rPr>
              <w:t>£m</w:t>
            </w:r>
          </w:p>
        </w:tc>
        <w:tc>
          <w:tcPr>
            <w:tcW w:w="1134" w:type="dxa"/>
            <w:shd w:val="clear" w:color="auto" w:fill="00483A"/>
          </w:tcPr>
          <w:p w14:paraId="7D4DB33B" w14:textId="77777777" w:rsidR="00D37D86" w:rsidRPr="00E70E7D" w:rsidRDefault="00D37D86" w:rsidP="00FC0C44">
            <w:pPr>
              <w:jc w:val="center"/>
              <w:rPr>
                <w:b/>
                <w:bCs/>
              </w:rPr>
            </w:pPr>
            <w:r w:rsidRPr="00E70E7D">
              <w:rPr>
                <w:b/>
                <w:bCs/>
              </w:rPr>
              <w:t>Variance</w:t>
            </w:r>
          </w:p>
          <w:p w14:paraId="28E1D678" w14:textId="77777777" w:rsidR="00D37D86" w:rsidRPr="00E70E7D" w:rsidRDefault="00D37D86" w:rsidP="00FC0C44">
            <w:pPr>
              <w:jc w:val="center"/>
              <w:rPr>
                <w:b/>
                <w:bCs/>
              </w:rPr>
            </w:pPr>
            <w:r w:rsidRPr="00E70E7D">
              <w:rPr>
                <w:b/>
                <w:bCs/>
              </w:rPr>
              <w:t xml:space="preserve"> July 2022</w:t>
            </w:r>
          </w:p>
          <w:p w14:paraId="7AED9321" w14:textId="77777777" w:rsidR="00D37D86" w:rsidRPr="00E70E7D" w:rsidRDefault="00D37D86" w:rsidP="00FC0C44">
            <w:pPr>
              <w:jc w:val="center"/>
              <w:rPr>
                <w:b/>
                <w:bCs/>
              </w:rPr>
            </w:pPr>
            <w:r w:rsidRPr="00E70E7D">
              <w:rPr>
                <w:b/>
                <w:bCs/>
              </w:rPr>
              <w:t>%</w:t>
            </w:r>
          </w:p>
        </w:tc>
        <w:tc>
          <w:tcPr>
            <w:tcW w:w="1134" w:type="dxa"/>
            <w:shd w:val="clear" w:color="auto" w:fill="00483A"/>
          </w:tcPr>
          <w:p w14:paraId="07325B84" w14:textId="77777777" w:rsidR="00D37D86" w:rsidRPr="00E70E7D" w:rsidRDefault="00D37D86" w:rsidP="00FC0C44">
            <w:pPr>
              <w:jc w:val="center"/>
              <w:rPr>
                <w:b/>
                <w:bCs/>
              </w:rPr>
            </w:pPr>
            <w:r w:rsidRPr="00E70E7D">
              <w:rPr>
                <w:b/>
                <w:bCs/>
              </w:rPr>
              <w:t>Variance</w:t>
            </w:r>
          </w:p>
          <w:p w14:paraId="31ED9A9D" w14:textId="77777777" w:rsidR="00D37D86" w:rsidRPr="00E70E7D" w:rsidRDefault="00D37D86" w:rsidP="00FC0C44">
            <w:pPr>
              <w:jc w:val="center"/>
              <w:rPr>
                <w:b/>
                <w:bCs/>
              </w:rPr>
            </w:pPr>
            <w:r w:rsidRPr="00E70E7D">
              <w:rPr>
                <w:b/>
                <w:bCs/>
              </w:rPr>
              <w:t>May 2022</w:t>
            </w:r>
          </w:p>
          <w:p w14:paraId="035153B4" w14:textId="77777777" w:rsidR="00D37D86" w:rsidRPr="00E70E7D" w:rsidRDefault="00D37D86" w:rsidP="00FC0C44">
            <w:pPr>
              <w:jc w:val="center"/>
              <w:rPr>
                <w:b/>
                <w:bCs/>
              </w:rPr>
            </w:pPr>
            <w:r w:rsidRPr="00E70E7D">
              <w:rPr>
                <w:b/>
                <w:bCs/>
              </w:rPr>
              <w:t>£m</w:t>
            </w:r>
          </w:p>
        </w:tc>
        <w:tc>
          <w:tcPr>
            <w:tcW w:w="1134" w:type="dxa"/>
            <w:shd w:val="clear" w:color="auto" w:fill="00483A"/>
          </w:tcPr>
          <w:p w14:paraId="6204CB9F" w14:textId="77777777" w:rsidR="00D37D86" w:rsidRPr="00E70E7D" w:rsidRDefault="00D37D86" w:rsidP="00FC0C44">
            <w:pPr>
              <w:jc w:val="center"/>
              <w:rPr>
                <w:b/>
                <w:bCs/>
              </w:rPr>
            </w:pPr>
            <w:r w:rsidRPr="00E70E7D">
              <w:rPr>
                <w:b/>
                <w:bCs/>
              </w:rPr>
              <w:t>Change</w:t>
            </w:r>
            <w:r>
              <w:rPr>
                <w:b/>
                <w:bCs/>
              </w:rPr>
              <w:t xml:space="preserve"> Since May</w:t>
            </w:r>
          </w:p>
          <w:p w14:paraId="6D048B8C" w14:textId="77777777" w:rsidR="00D37D86" w:rsidRPr="00E70E7D" w:rsidRDefault="00D37D86" w:rsidP="00FC0C44">
            <w:pPr>
              <w:jc w:val="center"/>
              <w:rPr>
                <w:b/>
                <w:bCs/>
              </w:rPr>
            </w:pPr>
            <w:r w:rsidRPr="00E70E7D">
              <w:rPr>
                <w:b/>
                <w:bCs/>
              </w:rPr>
              <w:t>£m</w:t>
            </w:r>
          </w:p>
        </w:tc>
      </w:tr>
      <w:tr w:rsidR="00D37D86" w:rsidRPr="000D042C" w14:paraId="190659BD" w14:textId="77777777" w:rsidTr="00FC0C44">
        <w:tc>
          <w:tcPr>
            <w:tcW w:w="3119" w:type="dxa"/>
          </w:tcPr>
          <w:p w14:paraId="266CD115" w14:textId="77777777" w:rsidR="00D37D86" w:rsidRPr="00E70E7D" w:rsidRDefault="00D37D86" w:rsidP="00FC0C44">
            <w:pPr>
              <w:jc w:val="both"/>
              <w:rPr>
                <w:rFonts w:ascii="Calibri" w:eastAsia="Times New Roman" w:hAnsi="Calibri" w:cs="Calibri"/>
                <w:color w:val="000000"/>
                <w:lang w:eastAsia="en-GB"/>
              </w:rPr>
            </w:pPr>
            <w:bookmarkStart w:id="9" w:name="_Hlk111448711"/>
            <w:bookmarkEnd w:id="8"/>
            <w:r w:rsidRPr="00E70E7D">
              <w:rPr>
                <w:rFonts w:ascii="Calibri" w:eastAsia="Times New Roman" w:hAnsi="Calibri" w:cs="Calibri"/>
                <w:color w:val="000000"/>
                <w:lang w:eastAsia="en-GB"/>
              </w:rPr>
              <w:t>Adult Services</w:t>
            </w:r>
          </w:p>
        </w:tc>
        <w:tc>
          <w:tcPr>
            <w:tcW w:w="1134" w:type="dxa"/>
          </w:tcPr>
          <w:p w14:paraId="379DCA87"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211.1</w:t>
            </w:r>
          </w:p>
        </w:tc>
        <w:tc>
          <w:tcPr>
            <w:tcW w:w="1134" w:type="dxa"/>
          </w:tcPr>
          <w:p w14:paraId="3B6F63DA"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211.1</w:t>
            </w:r>
          </w:p>
        </w:tc>
        <w:tc>
          <w:tcPr>
            <w:tcW w:w="1134" w:type="dxa"/>
          </w:tcPr>
          <w:p w14:paraId="3B566E9F"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0.0</w:t>
            </w:r>
          </w:p>
        </w:tc>
        <w:tc>
          <w:tcPr>
            <w:tcW w:w="1134" w:type="dxa"/>
          </w:tcPr>
          <w:p w14:paraId="7DDEAE16"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0.0</w:t>
            </w:r>
          </w:p>
        </w:tc>
        <w:tc>
          <w:tcPr>
            <w:tcW w:w="1134" w:type="dxa"/>
          </w:tcPr>
          <w:p w14:paraId="62C98A82"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0.0</w:t>
            </w:r>
          </w:p>
        </w:tc>
        <w:tc>
          <w:tcPr>
            <w:tcW w:w="1134" w:type="dxa"/>
          </w:tcPr>
          <w:p w14:paraId="68D39BA1" w14:textId="77777777" w:rsidR="00D37D86" w:rsidRPr="00E70E7D" w:rsidRDefault="00D37D86" w:rsidP="00FC0C44">
            <w:pPr>
              <w:jc w:val="right"/>
              <w:rPr>
                <w:rFonts w:ascii="Calibri" w:eastAsia="Times New Roman" w:hAnsi="Calibri" w:cs="Calibri"/>
                <w:color w:val="000000"/>
                <w:highlight w:val="yellow"/>
                <w:lang w:eastAsia="en-GB"/>
              </w:rPr>
            </w:pPr>
            <w:r w:rsidRPr="00E70E7D">
              <w:rPr>
                <w:rFonts w:ascii="Calibri" w:eastAsia="Times New Roman" w:hAnsi="Calibri" w:cs="Calibri"/>
                <w:color w:val="000000"/>
                <w:lang w:eastAsia="en-GB"/>
              </w:rPr>
              <w:t>0.0</w:t>
            </w:r>
          </w:p>
        </w:tc>
      </w:tr>
      <w:tr w:rsidR="00D37D86" w:rsidRPr="000D042C" w14:paraId="6F696245" w14:textId="77777777" w:rsidTr="00FC0C44">
        <w:tc>
          <w:tcPr>
            <w:tcW w:w="3119" w:type="dxa"/>
          </w:tcPr>
          <w:p w14:paraId="23AD70DE" w14:textId="77777777" w:rsidR="00D37D86" w:rsidRPr="00E70E7D" w:rsidRDefault="00D37D86" w:rsidP="00FC0C44">
            <w:pPr>
              <w:jc w:val="both"/>
              <w:rPr>
                <w:rFonts w:ascii="Calibri" w:eastAsia="Times New Roman" w:hAnsi="Calibri" w:cs="Calibri"/>
                <w:color w:val="000000"/>
                <w:lang w:eastAsia="en-GB"/>
              </w:rPr>
            </w:pPr>
            <w:r w:rsidRPr="00E70E7D">
              <w:rPr>
                <w:rFonts w:ascii="Calibri" w:eastAsia="Times New Roman" w:hAnsi="Calibri" w:cs="Calibri"/>
                <w:color w:val="000000"/>
                <w:lang w:eastAsia="en-GB"/>
              </w:rPr>
              <w:t>Children’s Services</w:t>
            </w:r>
          </w:p>
        </w:tc>
        <w:tc>
          <w:tcPr>
            <w:tcW w:w="1134" w:type="dxa"/>
          </w:tcPr>
          <w:p w14:paraId="4FCFB9E2" w14:textId="77777777" w:rsidR="00D37D86" w:rsidRPr="00E70E7D" w:rsidRDefault="00D37D86" w:rsidP="00FC0C44">
            <w:pPr>
              <w:jc w:val="right"/>
              <w:rPr>
                <w:rFonts w:ascii="Calibri" w:eastAsia="Times New Roman" w:hAnsi="Calibri" w:cs="Calibri"/>
                <w:color w:val="000000"/>
                <w:highlight w:val="yellow"/>
                <w:lang w:eastAsia="en-GB"/>
              </w:rPr>
            </w:pPr>
            <w:r w:rsidRPr="00E70E7D">
              <w:rPr>
                <w:rFonts w:ascii="Calibri" w:eastAsia="Times New Roman" w:hAnsi="Calibri" w:cs="Calibri"/>
                <w:color w:val="000000"/>
                <w:lang w:eastAsia="en-GB"/>
              </w:rPr>
              <w:t>148.7</w:t>
            </w:r>
          </w:p>
        </w:tc>
        <w:tc>
          <w:tcPr>
            <w:tcW w:w="1134" w:type="dxa"/>
          </w:tcPr>
          <w:p w14:paraId="6F1AE6A5" w14:textId="77777777" w:rsidR="00D37D86" w:rsidRPr="00AD1F37" w:rsidRDefault="00D37D86" w:rsidP="00FC0C44">
            <w:pPr>
              <w:jc w:val="right"/>
              <w:rPr>
                <w:rFonts w:ascii="Calibri" w:eastAsia="Times New Roman" w:hAnsi="Calibri" w:cs="Calibri"/>
                <w:color w:val="000000"/>
                <w:lang w:eastAsia="en-GB"/>
              </w:rPr>
            </w:pPr>
            <w:r w:rsidRPr="00AD1F37">
              <w:rPr>
                <w:rFonts w:ascii="Calibri" w:eastAsia="Times New Roman" w:hAnsi="Calibri" w:cs="Calibri"/>
                <w:color w:val="000000"/>
                <w:lang w:eastAsia="en-GB"/>
              </w:rPr>
              <w:t>157.0</w:t>
            </w:r>
          </w:p>
        </w:tc>
        <w:tc>
          <w:tcPr>
            <w:tcW w:w="1134" w:type="dxa"/>
          </w:tcPr>
          <w:p w14:paraId="760F3615" w14:textId="77777777" w:rsidR="00D37D86" w:rsidRPr="00AD1F37" w:rsidRDefault="00D37D86" w:rsidP="00FC0C44">
            <w:pPr>
              <w:jc w:val="right"/>
              <w:rPr>
                <w:rFonts w:ascii="Calibri" w:eastAsia="Times New Roman" w:hAnsi="Calibri" w:cs="Calibri"/>
                <w:color w:val="000000"/>
                <w:lang w:eastAsia="en-GB"/>
              </w:rPr>
            </w:pPr>
            <w:r>
              <w:rPr>
                <w:rFonts w:ascii="Calibri" w:eastAsia="Times New Roman" w:hAnsi="Calibri" w:cs="Calibri"/>
                <w:color w:val="000000"/>
                <w:lang w:eastAsia="en-GB"/>
              </w:rPr>
              <w:t>7.9</w:t>
            </w:r>
          </w:p>
        </w:tc>
        <w:tc>
          <w:tcPr>
            <w:tcW w:w="1134" w:type="dxa"/>
          </w:tcPr>
          <w:p w14:paraId="409AC46E" w14:textId="77777777" w:rsidR="00D37D86" w:rsidRPr="00AD1F37" w:rsidRDefault="00D37D86" w:rsidP="00FC0C44">
            <w:pPr>
              <w:jc w:val="right"/>
              <w:rPr>
                <w:rFonts w:ascii="Calibri" w:eastAsia="Times New Roman" w:hAnsi="Calibri" w:cs="Calibri"/>
                <w:color w:val="000000"/>
                <w:lang w:eastAsia="en-GB"/>
              </w:rPr>
            </w:pPr>
            <w:r>
              <w:rPr>
                <w:rFonts w:ascii="Calibri" w:eastAsia="Times New Roman" w:hAnsi="Calibri" w:cs="Calibri"/>
                <w:color w:val="000000"/>
                <w:lang w:eastAsia="en-GB"/>
              </w:rPr>
              <w:t>+5.3</w:t>
            </w:r>
          </w:p>
        </w:tc>
        <w:tc>
          <w:tcPr>
            <w:tcW w:w="1134" w:type="dxa"/>
          </w:tcPr>
          <w:p w14:paraId="0C6E9318" w14:textId="77777777" w:rsidR="00D37D86" w:rsidRPr="00AD1F37" w:rsidRDefault="00D37D86" w:rsidP="00FC0C44">
            <w:pPr>
              <w:jc w:val="right"/>
              <w:rPr>
                <w:rFonts w:ascii="Calibri" w:eastAsia="Times New Roman" w:hAnsi="Calibri" w:cs="Calibri"/>
                <w:color w:val="000000"/>
                <w:lang w:eastAsia="en-GB"/>
              </w:rPr>
            </w:pPr>
            <w:r w:rsidRPr="00AD1F37">
              <w:rPr>
                <w:rFonts w:ascii="Calibri" w:eastAsia="Times New Roman" w:hAnsi="Calibri" w:cs="Calibri"/>
                <w:color w:val="000000"/>
                <w:lang w:eastAsia="en-GB"/>
              </w:rPr>
              <w:t>5.5</w:t>
            </w:r>
          </w:p>
        </w:tc>
        <w:tc>
          <w:tcPr>
            <w:tcW w:w="1134" w:type="dxa"/>
          </w:tcPr>
          <w:p w14:paraId="090DBF1D" w14:textId="77777777" w:rsidR="00D37D86" w:rsidRPr="00AD1F37" w:rsidRDefault="00D37D86" w:rsidP="00FC0C44">
            <w:pPr>
              <w:jc w:val="right"/>
              <w:rPr>
                <w:rFonts w:ascii="Calibri" w:eastAsia="Times New Roman" w:hAnsi="Calibri" w:cs="Calibri"/>
                <w:color w:val="000000"/>
                <w:lang w:eastAsia="en-GB"/>
              </w:rPr>
            </w:pPr>
            <w:r w:rsidRPr="00AD1F37">
              <w:rPr>
                <w:rFonts w:ascii="Calibri" w:eastAsia="Times New Roman" w:hAnsi="Calibri" w:cs="Calibri"/>
                <w:color w:val="000000"/>
                <w:lang w:eastAsia="en-GB"/>
              </w:rPr>
              <w:t>+2.</w:t>
            </w:r>
            <w:r>
              <w:rPr>
                <w:rFonts w:ascii="Calibri" w:eastAsia="Times New Roman" w:hAnsi="Calibri" w:cs="Calibri"/>
                <w:color w:val="000000"/>
                <w:lang w:eastAsia="en-GB"/>
              </w:rPr>
              <w:t>4</w:t>
            </w:r>
          </w:p>
        </w:tc>
      </w:tr>
      <w:tr w:rsidR="00D37D86" w:rsidRPr="007036A5" w14:paraId="3C5E83AE" w14:textId="77777777" w:rsidTr="00FC0C44">
        <w:tc>
          <w:tcPr>
            <w:tcW w:w="3119" w:type="dxa"/>
          </w:tcPr>
          <w:p w14:paraId="38EBEDBF" w14:textId="77777777" w:rsidR="00D37D86" w:rsidRPr="00E70E7D" w:rsidRDefault="00D37D86" w:rsidP="00FC0C44">
            <w:pPr>
              <w:jc w:val="both"/>
              <w:rPr>
                <w:rFonts w:ascii="Calibri" w:eastAsia="Times New Roman" w:hAnsi="Calibri" w:cs="Calibri"/>
                <w:color w:val="000000"/>
                <w:lang w:eastAsia="en-GB"/>
              </w:rPr>
            </w:pPr>
            <w:r w:rsidRPr="00E70E7D">
              <w:rPr>
                <w:rFonts w:ascii="Calibri" w:eastAsia="Times New Roman" w:hAnsi="Calibri" w:cs="Calibri"/>
                <w:color w:val="000000"/>
                <w:lang w:eastAsia="en-GB"/>
              </w:rPr>
              <w:t>Public Health</w:t>
            </w:r>
          </w:p>
        </w:tc>
        <w:tc>
          <w:tcPr>
            <w:tcW w:w="1134" w:type="dxa"/>
          </w:tcPr>
          <w:p w14:paraId="4E0C9BD1"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2.4</w:t>
            </w:r>
          </w:p>
        </w:tc>
        <w:tc>
          <w:tcPr>
            <w:tcW w:w="1134" w:type="dxa"/>
          </w:tcPr>
          <w:p w14:paraId="54C27C30"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2.2</w:t>
            </w:r>
          </w:p>
        </w:tc>
        <w:tc>
          <w:tcPr>
            <w:tcW w:w="1134" w:type="dxa"/>
          </w:tcPr>
          <w:p w14:paraId="4423206B"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-0.2</w:t>
            </w:r>
          </w:p>
        </w:tc>
        <w:tc>
          <w:tcPr>
            <w:tcW w:w="1134" w:type="dxa"/>
          </w:tcPr>
          <w:p w14:paraId="129F80B1"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-8.4</w:t>
            </w:r>
          </w:p>
        </w:tc>
        <w:tc>
          <w:tcPr>
            <w:tcW w:w="1134" w:type="dxa"/>
          </w:tcPr>
          <w:p w14:paraId="0C18B549"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0.0</w:t>
            </w:r>
          </w:p>
        </w:tc>
        <w:tc>
          <w:tcPr>
            <w:tcW w:w="1134" w:type="dxa"/>
          </w:tcPr>
          <w:p w14:paraId="2AEF60BA"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-0.2</w:t>
            </w:r>
          </w:p>
        </w:tc>
      </w:tr>
      <w:tr w:rsidR="00D37D86" w:rsidRPr="000D042C" w14:paraId="2A3E8617" w14:textId="77777777" w:rsidTr="00FC0C44">
        <w:tc>
          <w:tcPr>
            <w:tcW w:w="3119" w:type="dxa"/>
          </w:tcPr>
          <w:p w14:paraId="10EE8853" w14:textId="77777777" w:rsidR="00D37D86" w:rsidRPr="00E70E7D" w:rsidRDefault="00D37D86" w:rsidP="00FC0C44">
            <w:pPr>
              <w:jc w:val="both"/>
              <w:rPr>
                <w:rFonts w:ascii="Calibri" w:eastAsia="Times New Roman" w:hAnsi="Calibri" w:cs="Calibri"/>
                <w:color w:val="000000"/>
                <w:lang w:eastAsia="en-GB"/>
              </w:rPr>
            </w:pPr>
            <w:r w:rsidRPr="00E70E7D">
              <w:rPr>
                <w:rFonts w:ascii="Calibri" w:eastAsia="Times New Roman" w:hAnsi="Calibri" w:cs="Calibri"/>
                <w:color w:val="000000"/>
                <w:lang w:eastAsia="en-GB"/>
              </w:rPr>
              <w:t xml:space="preserve">Environment &amp; Place </w:t>
            </w:r>
          </w:p>
        </w:tc>
        <w:tc>
          <w:tcPr>
            <w:tcW w:w="1134" w:type="dxa"/>
          </w:tcPr>
          <w:p w14:paraId="29F09106"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62.8</w:t>
            </w:r>
          </w:p>
        </w:tc>
        <w:tc>
          <w:tcPr>
            <w:tcW w:w="1134" w:type="dxa"/>
          </w:tcPr>
          <w:p w14:paraId="0CF867DA"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63.1</w:t>
            </w:r>
          </w:p>
        </w:tc>
        <w:tc>
          <w:tcPr>
            <w:tcW w:w="1134" w:type="dxa"/>
          </w:tcPr>
          <w:p w14:paraId="30B4D36A" w14:textId="77777777" w:rsidR="00D37D86" w:rsidRPr="00E70E7D" w:rsidRDefault="00D37D86" w:rsidP="00FC0C44">
            <w:pPr>
              <w:jc w:val="right"/>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1134" w:type="dxa"/>
          </w:tcPr>
          <w:p w14:paraId="241F4C59" w14:textId="77777777" w:rsidR="00D37D86" w:rsidRPr="00E70E7D" w:rsidRDefault="00D37D86" w:rsidP="00FC0C44">
            <w:pPr>
              <w:jc w:val="right"/>
              <w:rPr>
                <w:rFonts w:ascii="Calibri" w:eastAsia="Times New Roman" w:hAnsi="Calibri" w:cs="Calibri"/>
                <w:color w:val="000000"/>
                <w:lang w:eastAsia="en-GB"/>
              </w:rPr>
            </w:pPr>
            <w:r>
              <w:rPr>
                <w:rFonts w:ascii="Calibri" w:eastAsia="Times New Roman" w:hAnsi="Calibri" w:cs="Calibri"/>
                <w:color w:val="000000"/>
                <w:lang w:eastAsia="en-GB"/>
              </w:rPr>
              <w:t>-2.1</w:t>
            </w:r>
          </w:p>
        </w:tc>
        <w:tc>
          <w:tcPr>
            <w:tcW w:w="1134" w:type="dxa"/>
          </w:tcPr>
          <w:p w14:paraId="5FC0A6B5"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0.0</w:t>
            </w:r>
          </w:p>
        </w:tc>
        <w:tc>
          <w:tcPr>
            <w:tcW w:w="1134" w:type="dxa"/>
          </w:tcPr>
          <w:p w14:paraId="7CC84651" w14:textId="77777777" w:rsidR="00D37D86" w:rsidRPr="00E70E7D" w:rsidRDefault="00D37D86" w:rsidP="00FC0C44">
            <w:pPr>
              <w:jc w:val="right"/>
              <w:rPr>
                <w:rFonts w:ascii="Calibri" w:eastAsia="Times New Roman" w:hAnsi="Calibri" w:cs="Calibri"/>
                <w:color w:val="000000"/>
                <w:lang w:eastAsia="en-GB"/>
              </w:rPr>
            </w:pPr>
            <w:r>
              <w:rPr>
                <w:rFonts w:ascii="Calibri" w:eastAsia="Times New Roman" w:hAnsi="Calibri" w:cs="Calibri"/>
                <w:color w:val="000000"/>
                <w:lang w:eastAsia="en-GB"/>
              </w:rPr>
              <w:t>-1.3</w:t>
            </w:r>
          </w:p>
        </w:tc>
      </w:tr>
      <w:tr w:rsidR="00D37D86" w:rsidRPr="000D042C" w14:paraId="7BB10C9F" w14:textId="77777777" w:rsidTr="00FC0C44">
        <w:tc>
          <w:tcPr>
            <w:tcW w:w="3119" w:type="dxa"/>
          </w:tcPr>
          <w:p w14:paraId="3BAAF327" w14:textId="77777777" w:rsidR="00D37D86" w:rsidRPr="00E70E7D" w:rsidRDefault="00D37D86" w:rsidP="00FC0C44">
            <w:pPr>
              <w:rPr>
                <w:rFonts w:ascii="Calibri" w:eastAsia="Times New Roman" w:hAnsi="Calibri" w:cs="Calibri"/>
                <w:color w:val="000000"/>
                <w:lang w:eastAsia="en-GB"/>
              </w:rPr>
            </w:pPr>
            <w:r w:rsidRPr="00E70E7D">
              <w:rPr>
                <w:rFonts w:ascii="Calibri" w:eastAsia="Times New Roman" w:hAnsi="Calibri" w:cs="Calibri"/>
                <w:color w:val="000000"/>
                <w:lang w:eastAsia="en-GB"/>
              </w:rPr>
              <w:t xml:space="preserve">Commercial Development, </w:t>
            </w:r>
            <w:proofErr w:type="gramStart"/>
            <w:r w:rsidRPr="00E70E7D">
              <w:rPr>
                <w:rFonts w:ascii="Calibri" w:eastAsia="Times New Roman" w:hAnsi="Calibri" w:cs="Calibri"/>
                <w:color w:val="000000"/>
                <w:lang w:eastAsia="en-GB"/>
              </w:rPr>
              <w:t>Assets</w:t>
            </w:r>
            <w:proofErr w:type="gramEnd"/>
            <w:r w:rsidRPr="00E70E7D">
              <w:rPr>
                <w:rFonts w:ascii="Calibri" w:eastAsia="Times New Roman" w:hAnsi="Calibri" w:cs="Calibri"/>
                <w:color w:val="000000"/>
                <w:lang w:eastAsia="en-GB"/>
              </w:rPr>
              <w:t xml:space="preserve"> and Investments</w:t>
            </w:r>
          </w:p>
        </w:tc>
        <w:tc>
          <w:tcPr>
            <w:tcW w:w="1134" w:type="dxa"/>
          </w:tcPr>
          <w:p w14:paraId="283EEDFF"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48.6</w:t>
            </w:r>
          </w:p>
        </w:tc>
        <w:tc>
          <w:tcPr>
            <w:tcW w:w="1134" w:type="dxa"/>
          </w:tcPr>
          <w:p w14:paraId="113D066A"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49.</w:t>
            </w:r>
            <w:r>
              <w:rPr>
                <w:rFonts w:ascii="Calibri" w:eastAsia="Times New Roman" w:hAnsi="Calibri" w:cs="Calibri"/>
                <w:color w:val="000000"/>
                <w:lang w:eastAsia="en-GB"/>
              </w:rPr>
              <w:t>9</w:t>
            </w:r>
          </w:p>
        </w:tc>
        <w:tc>
          <w:tcPr>
            <w:tcW w:w="1134" w:type="dxa"/>
          </w:tcPr>
          <w:p w14:paraId="6D2BBB84"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1.</w:t>
            </w:r>
            <w:r>
              <w:rPr>
                <w:rFonts w:ascii="Calibri" w:eastAsia="Times New Roman" w:hAnsi="Calibri" w:cs="Calibri"/>
                <w:color w:val="000000"/>
                <w:lang w:eastAsia="en-GB"/>
              </w:rPr>
              <w:t>0</w:t>
            </w:r>
          </w:p>
        </w:tc>
        <w:tc>
          <w:tcPr>
            <w:tcW w:w="1134" w:type="dxa"/>
          </w:tcPr>
          <w:p w14:paraId="41C59AD5"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2.</w:t>
            </w:r>
            <w:r>
              <w:rPr>
                <w:rFonts w:ascii="Calibri" w:eastAsia="Times New Roman" w:hAnsi="Calibri" w:cs="Calibri"/>
                <w:color w:val="000000"/>
                <w:lang w:eastAsia="en-GB"/>
              </w:rPr>
              <w:t>1</w:t>
            </w:r>
          </w:p>
        </w:tc>
        <w:tc>
          <w:tcPr>
            <w:tcW w:w="1134" w:type="dxa"/>
          </w:tcPr>
          <w:p w14:paraId="54D1BC2A"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0.4</w:t>
            </w:r>
          </w:p>
        </w:tc>
        <w:tc>
          <w:tcPr>
            <w:tcW w:w="1134" w:type="dxa"/>
          </w:tcPr>
          <w:p w14:paraId="0D2C687C"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w:t>
            </w:r>
            <w:r>
              <w:rPr>
                <w:rFonts w:ascii="Calibri" w:eastAsia="Times New Roman" w:hAnsi="Calibri" w:cs="Calibri"/>
                <w:color w:val="000000"/>
                <w:lang w:eastAsia="en-GB"/>
              </w:rPr>
              <w:t>0.6</w:t>
            </w:r>
          </w:p>
        </w:tc>
      </w:tr>
      <w:tr w:rsidR="00D37D86" w:rsidRPr="000D042C" w14:paraId="1A3AEB65" w14:textId="77777777" w:rsidTr="00FC0C44">
        <w:tc>
          <w:tcPr>
            <w:tcW w:w="3119" w:type="dxa"/>
          </w:tcPr>
          <w:p w14:paraId="523E3D13" w14:textId="77777777" w:rsidR="00D37D86" w:rsidRPr="00E70E7D" w:rsidRDefault="00D37D86" w:rsidP="00FC0C44">
            <w:pPr>
              <w:rPr>
                <w:rFonts w:ascii="Calibri" w:eastAsia="Times New Roman" w:hAnsi="Calibri" w:cs="Calibri"/>
                <w:color w:val="000000"/>
                <w:lang w:eastAsia="en-GB"/>
              </w:rPr>
            </w:pPr>
            <w:r w:rsidRPr="00E70E7D">
              <w:rPr>
                <w:rFonts w:ascii="Calibri" w:eastAsia="Times New Roman" w:hAnsi="Calibri" w:cs="Calibri"/>
                <w:color w:val="000000"/>
                <w:lang w:eastAsia="en-GB"/>
              </w:rPr>
              <w:t xml:space="preserve">Customers, </w:t>
            </w:r>
            <w:proofErr w:type="spellStart"/>
            <w:r w:rsidRPr="00E70E7D">
              <w:rPr>
                <w:rFonts w:ascii="Calibri" w:eastAsia="Times New Roman" w:hAnsi="Calibri" w:cs="Calibri"/>
                <w:color w:val="000000"/>
                <w:lang w:eastAsia="en-GB"/>
              </w:rPr>
              <w:t>Organisational</w:t>
            </w:r>
            <w:proofErr w:type="spellEnd"/>
            <w:r w:rsidRPr="00E70E7D">
              <w:rPr>
                <w:rFonts w:ascii="Calibri" w:eastAsia="Times New Roman" w:hAnsi="Calibri" w:cs="Calibri"/>
                <w:color w:val="000000"/>
                <w:lang w:eastAsia="en-GB"/>
              </w:rPr>
              <w:t xml:space="preserve"> Development &amp; Resources</w:t>
            </w:r>
          </w:p>
        </w:tc>
        <w:tc>
          <w:tcPr>
            <w:tcW w:w="1134" w:type="dxa"/>
          </w:tcPr>
          <w:p w14:paraId="38B9F1EC"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37.3</w:t>
            </w:r>
          </w:p>
        </w:tc>
        <w:tc>
          <w:tcPr>
            <w:tcW w:w="1134" w:type="dxa"/>
          </w:tcPr>
          <w:p w14:paraId="5082B36A"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37.1</w:t>
            </w:r>
          </w:p>
        </w:tc>
        <w:tc>
          <w:tcPr>
            <w:tcW w:w="1134" w:type="dxa"/>
          </w:tcPr>
          <w:p w14:paraId="4129CAB1"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-0.2</w:t>
            </w:r>
          </w:p>
        </w:tc>
        <w:tc>
          <w:tcPr>
            <w:tcW w:w="1134" w:type="dxa"/>
          </w:tcPr>
          <w:p w14:paraId="7B51B254"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w:t>
            </w:r>
            <w:r>
              <w:rPr>
                <w:rFonts w:ascii="Calibri" w:eastAsia="Times New Roman" w:hAnsi="Calibri" w:cs="Calibri"/>
                <w:color w:val="000000"/>
                <w:lang w:eastAsia="en-GB"/>
              </w:rPr>
              <w:t>5</w:t>
            </w:r>
          </w:p>
        </w:tc>
        <w:tc>
          <w:tcPr>
            <w:tcW w:w="1134" w:type="dxa"/>
          </w:tcPr>
          <w:p w14:paraId="08332C0B"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-0.4</w:t>
            </w:r>
          </w:p>
        </w:tc>
        <w:tc>
          <w:tcPr>
            <w:tcW w:w="1134" w:type="dxa"/>
          </w:tcPr>
          <w:p w14:paraId="2E2D4849"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+0.2</w:t>
            </w:r>
          </w:p>
        </w:tc>
      </w:tr>
      <w:tr w:rsidR="00D37D86" w:rsidRPr="000D042C" w14:paraId="2A5B8356" w14:textId="77777777" w:rsidTr="00FC0C44">
        <w:trPr>
          <w:trHeight w:val="392"/>
        </w:trPr>
        <w:tc>
          <w:tcPr>
            <w:tcW w:w="3119" w:type="dxa"/>
            <w:tcBorders>
              <w:bottom w:val="single" w:sz="4" w:space="0" w:color="BFBFBF"/>
            </w:tcBorders>
            <w:shd w:val="clear" w:color="auto" w:fill="00483A"/>
          </w:tcPr>
          <w:p w14:paraId="6165311F" w14:textId="77777777" w:rsidR="00D37D86" w:rsidRPr="00E70E7D" w:rsidRDefault="00D37D86" w:rsidP="00FC0C44">
            <w:pPr>
              <w:jc w:val="both"/>
              <w:rPr>
                <w:rFonts w:eastAsia="Times New Roman"/>
                <w:b/>
              </w:rPr>
            </w:pPr>
            <w:r w:rsidRPr="00E70E7D">
              <w:rPr>
                <w:rFonts w:eastAsia="Times New Roman"/>
                <w:b/>
              </w:rPr>
              <w:t>Total Directorate Budgets</w:t>
            </w:r>
          </w:p>
        </w:tc>
        <w:tc>
          <w:tcPr>
            <w:tcW w:w="1134" w:type="dxa"/>
            <w:tcBorders>
              <w:bottom w:val="single" w:sz="4" w:space="0" w:color="BFBFBF"/>
            </w:tcBorders>
            <w:shd w:val="clear" w:color="auto" w:fill="00483A"/>
          </w:tcPr>
          <w:p w14:paraId="021A4B48" w14:textId="77777777" w:rsidR="00D37D86" w:rsidRPr="00E70E7D" w:rsidRDefault="00D37D86" w:rsidP="00FC0C44">
            <w:pPr>
              <w:jc w:val="right"/>
              <w:rPr>
                <w:rFonts w:eastAsia="Times New Roman"/>
                <w:b/>
              </w:rPr>
            </w:pPr>
            <w:r w:rsidRPr="00E70E7D">
              <w:rPr>
                <w:rFonts w:eastAsia="Times New Roman"/>
                <w:b/>
              </w:rPr>
              <w:t>510.9</w:t>
            </w:r>
          </w:p>
        </w:tc>
        <w:tc>
          <w:tcPr>
            <w:tcW w:w="1134" w:type="dxa"/>
            <w:tcBorders>
              <w:bottom w:val="single" w:sz="4" w:space="0" w:color="BFBFBF"/>
            </w:tcBorders>
            <w:shd w:val="clear" w:color="auto" w:fill="00483A"/>
          </w:tcPr>
          <w:p w14:paraId="45C6B48A" w14:textId="77777777" w:rsidR="00D37D86" w:rsidRPr="00E70E7D" w:rsidRDefault="00D37D86" w:rsidP="00FC0C44">
            <w:pPr>
              <w:jc w:val="right"/>
              <w:rPr>
                <w:rFonts w:eastAsia="Times New Roman"/>
                <w:b/>
              </w:rPr>
            </w:pPr>
            <w:r w:rsidRPr="00E70E7D">
              <w:rPr>
                <w:rFonts w:eastAsia="Times New Roman"/>
                <w:b/>
              </w:rPr>
              <w:t>520.</w:t>
            </w:r>
            <w:r>
              <w:rPr>
                <w:rFonts w:eastAsia="Times New Roman"/>
                <w:b/>
              </w:rPr>
              <w:t>4</w:t>
            </w:r>
          </w:p>
        </w:tc>
        <w:tc>
          <w:tcPr>
            <w:tcW w:w="1134" w:type="dxa"/>
            <w:tcBorders>
              <w:bottom w:val="single" w:sz="4" w:space="0" w:color="BFBFBF"/>
            </w:tcBorders>
            <w:shd w:val="clear" w:color="auto" w:fill="00483A"/>
          </w:tcPr>
          <w:p w14:paraId="7308F27D" w14:textId="77777777" w:rsidR="00D37D86" w:rsidRPr="00E70E7D" w:rsidRDefault="00D37D86" w:rsidP="00FC0C44">
            <w:pPr>
              <w:jc w:val="right"/>
              <w:rPr>
                <w:rFonts w:eastAsia="Times New Roman"/>
                <w:b/>
              </w:rPr>
            </w:pPr>
            <w:r>
              <w:rPr>
                <w:rFonts w:eastAsia="Times New Roman"/>
                <w:b/>
              </w:rPr>
              <w:t>7.2</w:t>
            </w:r>
          </w:p>
        </w:tc>
        <w:tc>
          <w:tcPr>
            <w:tcW w:w="1134" w:type="dxa"/>
            <w:tcBorders>
              <w:bottom w:val="single" w:sz="4" w:space="0" w:color="BFBFBF"/>
            </w:tcBorders>
            <w:shd w:val="clear" w:color="auto" w:fill="00483A"/>
          </w:tcPr>
          <w:p w14:paraId="394BACE2" w14:textId="77777777" w:rsidR="00D37D86" w:rsidRPr="00E70E7D" w:rsidRDefault="00D37D86" w:rsidP="00FC0C44">
            <w:pPr>
              <w:jc w:val="right"/>
              <w:rPr>
                <w:rFonts w:eastAsia="Times New Roman"/>
                <w:b/>
              </w:rPr>
            </w:pPr>
            <w:r w:rsidRPr="00E70E7D">
              <w:rPr>
                <w:rFonts w:eastAsia="Times New Roman"/>
                <w:b/>
              </w:rPr>
              <w:t>1.</w:t>
            </w:r>
            <w:r>
              <w:rPr>
                <w:rFonts w:eastAsia="Times New Roman"/>
                <w:b/>
              </w:rPr>
              <w:t>4</w:t>
            </w:r>
          </w:p>
        </w:tc>
        <w:tc>
          <w:tcPr>
            <w:tcW w:w="1134" w:type="dxa"/>
            <w:tcBorders>
              <w:bottom w:val="single" w:sz="4" w:space="0" w:color="BFBFBF"/>
            </w:tcBorders>
            <w:shd w:val="clear" w:color="auto" w:fill="00483A"/>
          </w:tcPr>
          <w:p w14:paraId="27341D2A" w14:textId="77777777" w:rsidR="00D37D86" w:rsidRPr="00E70E7D" w:rsidRDefault="00D37D86" w:rsidP="00FC0C44">
            <w:pPr>
              <w:jc w:val="right"/>
              <w:rPr>
                <w:rFonts w:eastAsia="Times New Roman"/>
                <w:b/>
              </w:rPr>
            </w:pPr>
            <w:r w:rsidRPr="00E70E7D">
              <w:rPr>
                <w:rFonts w:eastAsia="Times New Roman"/>
                <w:b/>
              </w:rPr>
              <w:t>5.5</w:t>
            </w:r>
          </w:p>
        </w:tc>
        <w:tc>
          <w:tcPr>
            <w:tcW w:w="1134" w:type="dxa"/>
            <w:tcBorders>
              <w:bottom w:val="single" w:sz="4" w:space="0" w:color="BFBFBF"/>
            </w:tcBorders>
            <w:shd w:val="clear" w:color="auto" w:fill="00483A"/>
          </w:tcPr>
          <w:p w14:paraId="154F9D8A" w14:textId="77777777" w:rsidR="00D37D86" w:rsidRPr="00E70E7D" w:rsidRDefault="00D37D86" w:rsidP="00FC0C44">
            <w:pPr>
              <w:jc w:val="right"/>
              <w:rPr>
                <w:rFonts w:eastAsia="Times New Roman"/>
                <w:b/>
              </w:rPr>
            </w:pPr>
            <w:r>
              <w:rPr>
                <w:rFonts w:eastAsia="Times New Roman"/>
                <w:b/>
              </w:rPr>
              <w:t>+1.7</w:t>
            </w:r>
          </w:p>
        </w:tc>
      </w:tr>
      <w:tr w:rsidR="00D37D86" w:rsidRPr="000D042C" w14:paraId="0F78A9F8" w14:textId="77777777" w:rsidTr="00FC0C44">
        <w:tc>
          <w:tcPr>
            <w:tcW w:w="3119" w:type="dxa"/>
            <w:tcBorders>
              <w:bottom w:val="single" w:sz="4" w:space="0" w:color="BFBFBF"/>
            </w:tcBorders>
            <w:shd w:val="clear" w:color="auto" w:fill="FFFFFF"/>
          </w:tcPr>
          <w:p w14:paraId="13CA49AB" w14:textId="77777777" w:rsidR="00D37D86" w:rsidRPr="00E70E7D" w:rsidRDefault="00D37D86" w:rsidP="00FC0C44">
            <w:pPr>
              <w:rPr>
                <w:rFonts w:ascii="Calibri" w:eastAsia="Times New Roman" w:hAnsi="Calibri" w:cs="Calibri"/>
                <w:b/>
                <w:bCs/>
                <w:color w:val="000000"/>
                <w:lang w:eastAsia="en-GB"/>
              </w:rPr>
            </w:pPr>
            <w:r w:rsidRPr="00E70E7D">
              <w:rPr>
                <w:rFonts w:ascii="Calibri" w:eastAsia="Times New Roman" w:hAnsi="Calibri" w:cs="Calibri"/>
                <w:b/>
                <w:bCs/>
                <w:color w:val="000000"/>
                <w:lang w:eastAsia="en-GB"/>
              </w:rPr>
              <w:t>Budgets Held Centrally</w:t>
            </w:r>
          </w:p>
        </w:tc>
        <w:tc>
          <w:tcPr>
            <w:tcW w:w="1134" w:type="dxa"/>
            <w:tcBorders>
              <w:bottom w:val="single" w:sz="4" w:space="0" w:color="BFBFBF"/>
            </w:tcBorders>
            <w:shd w:val="clear" w:color="auto" w:fill="FFFFFF"/>
          </w:tcPr>
          <w:p w14:paraId="5278ED47" w14:textId="77777777" w:rsidR="00D37D86" w:rsidRPr="00E70E7D" w:rsidRDefault="00D37D86" w:rsidP="00FC0C44">
            <w:pPr>
              <w:jc w:val="right"/>
              <w:rPr>
                <w:rFonts w:ascii="Calibri" w:eastAsia="Times New Roman" w:hAnsi="Calibri" w:cs="Calibri"/>
                <w:color w:val="000000"/>
                <w:lang w:eastAsia="en-GB"/>
              </w:rPr>
            </w:pPr>
          </w:p>
        </w:tc>
        <w:tc>
          <w:tcPr>
            <w:tcW w:w="1134" w:type="dxa"/>
            <w:tcBorders>
              <w:bottom w:val="single" w:sz="4" w:space="0" w:color="BFBFBF"/>
            </w:tcBorders>
            <w:shd w:val="clear" w:color="auto" w:fill="FFFFFF"/>
          </w:tcPr>
          <w:p w14:paraId="04339390" w14:textId="77777777" w:rsidR="00D37D86" w:rsidRPr="00E70E7D" w:rsidRDefault="00D37D86" w:rsidP="00FC0C44">
            <w:pPr>
              <w:jc w:val="right"/>
              <w:rPr>
                <w:rFonts w:ascii="Calibri" w:eastAsia="Times New Roman" w:hAnsi="Calibri" w:cs="Calibri"/>
                <w:color w:val="000000"/>
                <w:lang w:eastAsia="en-GB"/>
              </w:rPr>
            </w:pPr>
          </w:p>
        </w:tc>
        <w:tc>
          <w:tcPr>
            <w:tcW w:w="1134" w:type="dxa"/>
            <w:tcBorders>
              <w:bottom w:val="single" w:sz="4" w:space="0" w:color="BFBFBF"/>
            </w:tcBorders>
            <w:shd w:val="clear" w:color="auto" w:fill="FFFFFF"/>
          </w:tcPr>
          <w:p w14:paraId="49B0BBD3" w14:textId="77777777" w:rsidR="00D37D86" w:rsidRPr="00E70E7D" w:rsidRDefault="00D37D86" w:rsidP="00FC0C44">
            <w:pPr>
              <w:jc w:val="right"/>
              <w:rPr>
                <w:rFonts w:ascii="Calibri" w:eastAsia="Times New Roman" w:hAnsi="Calibri" w:cs="Calibri"/>
                <w:color w:val="000000"/>
                <w:lang w:eastAsia="en-GB"/>
              </w:rPr>
            </w:pPr>
          </w:p>
        </w:tc>
        <w:tc>
          <w:tcPr>
            <w:tcW w:w="1134" w:type="dxa"/>
            <w:tcBorders>
              <w:bottom w:val="single" w:sz="4" w:space="0" w:color="BFBFBF"/>
            </w:tcBorders>
            <w:shd w:val="clear" w:color="auto" w:fill="FFFFFF"/>
          </w:tcPr>
          <w:p w14:paraId="1C22768E" w14:textId="77777777" w:rsidR="00D37D86" w:rsidRPr="00E70E7D" w:rsidRDefault="00D37D86" w:rsidP="00FC0C44">
            <w:pPr>
              <w:jc w:val="right"/>
              <w:rPr>
                <w:rFonts w:ascii="Calibri" w:eastAsia="Times New Roman" w:hAnsi="Calibri" w:cs="Calibri"/>
                <w:color w:val="000000"/>
                <w:lang w:eastAsia="en-GB"/>
              </w:rPr>
            </w:pPr>
          </w:p>
        </w:tc>
        <w:tc>
          <w:tcPr>
            <w:tcW w:w="1134" w:type="dxa"/>
            <w:tcBorders>
              <w:bottom w:val="single" w:sz="4" w:space="0" w:color="BFBFBF"/>
            </w:tcBorders>
            <w:shd w:val="clear" w:color="auto" w:fill="FFFFFF"/>
          </w:tcPr>
          <w:p w14:paraId="712AE473" w14:textId="77777777" w:rsidR="00D37D86" w:rsidRPr="00E70E7D" w:rsidRDefault="00D37D86" w:rsidP="00FC0C44">
            <w:pPr>
              <w:jc w:val="right"/>
              <w:rPr>
                <w:rFonts w:ascii="Calibri" w:eastAsia="Times New Roman" w:hAnsi="Calibri" w:cs="Calibri"/>
                <w:color w:val="000000"/>
                <w:highlight w:val="yellow"/>
                <w:lang w:eastAsia="en-GB"/>
              </w:rPr>
            </w:pPr>
          </w:p>
        </w:tc>
        <w:tc>
          <w:tcPr>
            <w:tcW w:w="1134" w:type="dxa"/>
            <w:tcBorders>
              <w:bottom w:val="single" w:sz="4" w:space="0" w:color="BFBFBF"/>
            </w:tcBorders>
            <w:shd w:val="clear" w:color="auto" w:fill="FFFFFF"/>
          </w:tcPr>
          <w:p w14:paraId="158AF8D4" w14:textId="77777777" w:rsidR="00D37D86" w:rsidRPr="00E70E7D" w:rsidRDefault="00D37D86" w:rsidP="00FC0C44">
            <w:pPr>
              <w:jc w:val="right"/>
              <w:rPr>
                <w:rFonts w:ascii="Calibri" w:eastAsia="Times New Roman" w:hAnsi="Calibri" w:cs="Calibri"/>
                <w:color w:val="000000"/>
                <w:lang w:eastAsia="en-GB"/>
              </w:rPr>
            </w:pPr>
          </w:p>
        </w:tc>
      </w:tr>
      <w:tr w:rsidR="00D37D86" w:rsidRPr="000D042C" w14:paraId="3BF726EE" w14:textId="77777777" w:rsidTr="00FC0C44">
        <w:tc>
          <w:tcPr>
            <w:tcW w:w="3119" w:type="dxa"/>
            <w:tcBorders>
              <w:bottom w:val="single" w:sz="4" w:space="0" w:color="BFBFBF"/>
            </w:tcBorders>
            <w:shd w:val="clear" w:color="auto" w:fill="FFFFFF"/>
          </w:tcPr>
          <w:p w14:paraId="231D577A" w14:textId="77777777" w:rsidR="00D37D86" w:rsidRPr="00E70E7D" w:rsidRDefault="00D37D86" w:rsidP="00FC0C44">
            <w:pPr>
              <w:rPr>
                <w:rFonts w:ascii="Calibri" w:eastAsia="Times New Roman" w:hAnsi="Calibri" w:cs="Calibri"/>
                <w:color w:val="000000"/>
                <w:lang w:eastAsia="en-GB"/>
              </w:rPr>
            </w:pPr>
            <w:r w:rsidRPr="00E70E7D">
              <w:rPr>
                <w:rFonts w:ascii="Calibri" w:hAnsi="Calibri" w:cs="Calibri"/>
                <w:color w:val="000000"/>
                <w:lang w:eastAsia="en-GB"/>
              </w:rPr>
              <w:t>Capital Financing Costs</w:t>
            </w:r>
          </w:p>
        </w:tc>
        <w:tc>
          <w:tcPr>
            <w:tcW w:w="1134" w:type="dxa"/>
            <w:tcBorders>
              <w:bottom w:val="single" w:sz="4" w:space="0" w:color="BFBFBF"/>
            </w:tcBorders>
            <w:shd w:val="clear" w:color="auto" w:fill="FFFFFF"/>
          </w:tcPr>
          <w:p w14:paraId="37B1A8A1"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26.1</w:t>
            </w:r>
          </w:p>
        </w:tc>
        <w:tc>
          <w:tcPr>
            <w:tcW w:w="1134" w:type="dxa"/>
            <w:tcBorders>
              <w:bottom w:val="single" w:sz="4" w:space="0" w:color="BFBFBF"/>
            </w:tcBorders>
            <w:shd w:val="clear" w:color="auto" w:fill="FFFFFF"/>
          </w:tcPr>
          <w:p w14:paraId="359F0301"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26.1</w:t>
            </w:r>
          </w:p>
        </w:tc>
        <w:tc>
          <w:tcPr>
            <w:tcW w:w="1134" w:type="dxa"/>
            <w:tcBorders>
              <w:bottom w:val="single" w:sz="4" w:space="0" w:color="BFBFBF"/>
            </w:tcBorders>
            <w:shd w:val="clear" w:color="auto" w:fill="FFFFFF"/>
          </w:tcPr>
          <w:p w14:paraId="30430106"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0.0</w:t>
            </w:r>
          </w:p>
        </w:tc>
        <w:tc>
          <w:tcPr>
            <w:tcW w:w="1134" w:type="dxa"/>
            <w:tcBorders>
              <w:bottom w:val="single" w:sz="4" w:space="0" w:color="BFBFBF"/>
            </w:tcBorders>
            <w:shd w:val="clear" w:color="auto" w:fill="FFFFFF"/>
          </w:tcPr>
          <w:p w14:paraId="158B1DD9"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0.0</w:t>
            </w:r>
          </w:p>
        </w:tc>
        <w:tc>
          <w:tcPr>
            <w:tcW w:w="1134" w:type="dxa"/>
            <w:tcBorders>
              <w:bottom w:val="single" w:sz="4" w:space="0" w:color="BFBFBF"/>
            </w:tcBorders>
            <w:shd w:val="clear" w:color="auto" w:fill="FFFFFF"/>
          </w:tcPr>
          <w:p w14:paraId="1504B912"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0.0</w:t>
            </w:r>
          </w:p>
        </w:tc>
        <w:tc>
          <w:tcPr>
            <w:tcW w:w="1134" w:type="dxa"/>
            <w:tcBorders>
              <w:bottom w:val="single" w:sz="4" w:space="0" w:color="BFBFBF"/>
            </w:tcBorders>
            <w:shd w:val="clear" w:color="auto" w:fill="FFFFFF"/>
          </w:tcPr>
          <w:p w14:paraId="713C9398" w14:textId="77777777" w:rsidR="00D37D86" w:rsidRPr="00E70E7D" w:rsidRDefault="00D37D86" w:rsidP="00FC0C44">
            <w:pPr>
              <w:jc w:val="right"/>
              <w:rPr>
                <w:rFonts w:ascii="Calibri" w:eastAsia="Times New Roman" w:hAnsi="Calibri" w:cs="Calibri"/>
                <w:color w:val="000000"/>
                <w:lang w:eastAsia="en-GB"/>
              </w:rPr>
            </w:pPr>
            <w:r>
              <w:rPr>
                <w:rFonts w:ascii="Calibri" w:eastAsia="Times New Roman" w:hAnsi="Calibri" w:cs="Calibri"/>
                <w:color w:val="000000"/>
                <w:lang w:eastAsia="en-GB"/>
              </w:rPr>
              <w:t>0.0</w:t>
            </w:r>
          </w:p>
        </w:tc>
      </w:tr>
      <w:tr w:rsidR="00D37D86" w:rsidRPr="000D042C" w14:paraId="31FBFF7D" w14:textId="77777777" w:rsidTr="00FC0C44">
        <w:tc>
          <w:tcPr>
            <w:tcW w:w="3119" w:type="dxa"/>
            <w:tcBorders>
              <w:bottom w:val="single" w:sz="4" w:space="0" w:color="BFBFBF"/>
            </w:tcBorders>
            <w:shd w:val="clear" w:color="auto" w:fill="FFFFFF"/>
          </w:tcPr>
          <w:p w14:paraId="139D43EB" w14:textId="77777777" w:rsidR="00D37D86" w:rsidRPr="00E70E7D" w:rsidRDefault="00D37D86" w:rsidP="00FC0C44">
            <w:pPr>
              <w:rPr>
                <w:rFonts w:ascii="Calibri" w:eastAsia="Times New Roman" w:hAnsi="Calibri" w:cs="Calibri"/>
                <w:color w:val="000000"/>
                <w:lang w:eastAsia="en-GB"/>
              </w:rPr>
            </w:pPr>
            <w:r w:rsidRPr="00E70E7D">
              <w:rPr>
                <w:rFonts w:ascii="Calibri" w:hAnsi="Calibri" w:cs="Calibri"/>
                <w:color w:val="000000"/>
                <w:lang w:eastAsia="en-GB"/>
              </w:rPr>
              <w:t>Interest on Balances</w:t>
            </w:r>
          </w:p>
        </w:tc>
        <w:tc>
          <w:tcPr>
            <w:tcW w:w="1134" w:type="dxa"/>
            <w:tcBorders>
              <w:bottom w:val="single" w:sz="4" w:space="0" w:color="BFBFBF"/>
            </w:tcBorders>
            <w:shd w:val="clear" w:color="auto" w:fill="FFFFFF"/>
          </w:tcPr>
          <w:p w14:paraId="13433E7A"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-13.0</w:t>
            </w:r>
          </w:p>
        </w:tc>
        <w:tc>
          <w:tcPr>
            <w:tcW w:w="1134" w:type="dxa"/>
            <w:tcBorders>
              <w:bottom w:val="single" w:sz="4" w:space="0" w:color="BFBFBF"/>
            </w:tcBorders>
            <w:shd w:val="clear" w:color="auto" w:fill="FFFFFF"/>
          </w:tcPr>
          <w:p w14:paraId="15C09954"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-14.3</w:t>
            </w:r>
          </w:p>
        </w:tc>
        <w:tc>
          <w:tcPr>
            <w:tcW w:w="1134" w:type="dxa"/>
            <w:tcBorders>
              <w:bottom w:val="single" w:sz="4" w:space="0" w:color="BFBFBF"/>
            </w:tcBorders>
            <w:shd w:val="clear" w:color="auto" w:fill="FFFFFF"/>
          </w:tcPr>
          <w:p w14:paraId="18C6D82D"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-1.3</w:t>
            </w:r>
          </w:p>
        </w:tc>
        <w:tc>
          <w:tcPr>
            <w:tcW w:w="1134" w:type="dxa"/>
            <w:tcBorders>
              <w:bottom w:val="single" w:sz="4" w:space="0" w:color="BFBFBF"/>
            </w:tcBorders>
            <w:shd w:val="clear" w:color="auto" w:fill="FFFFFF"/>
          </w:tcPr>
          <w:p w14:paraId="1F5FF3B7"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-0.3</w:t>
            </w:r>
          </w:p>
        </w:tc>
        <w:tc>
          <w:tcPr>
            <w:tcW w:w="1134" w:type="dxa"/>
            <w:tcBorders>
              <w:bottom w:val="single" w:sz="4" w:space="0" w:color="BFBFBF"/>
            </w:tcBorders>
            <w:shd w:val="clear" w:color="auto" w:fill="FFFFFF"/>
          </w:tcPr>
          <w:p w14:paraId="3F158441"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-1.1</w:t>
            </w:r>
          </w:p>
        </w:tc>
        <w:tc>
          <w:tcPr>
            <w:tcW w:w="1134" w:type="dxa"/>
            <w:tcBorders>
              <w:bottom w:val="single" w:sz="4" w:space="0" w:color="BFBFBF"/>
            </w:tcBorders>
            <w:shd w:val="clear" w:color="auto" w:fill="FFFFFF"/>
          </w:tcPr>
          <w:p w14:paraId="377F841C"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-0.2</w:t>
            </w:r>
          </w:p>
        </w:tc>
      </w:tr>
      <w:tr w:rsidR="00D37D86" w:rsidRPr="000D042C" w14:paraId="1F534F7D" w14:textId="77777777" w:rsidTr="00FC0C44">
        <w:tc>
          <w:tcPr>
            <w:tcW w:w="3119" w:type="dxa"/>
            <w:tcBorders>
              <w:bottom w:val="single" w:sz="4" w:space="0" w:color="BFBFBF"/>
            </w:tcBorders>
            <w:shd w:val="clear" w:color="auto" w:fill="FFFFFF"/>
          </w:tcPr>
          <w:p w14:paraId="2B8525AB" w14:textId="77777777" w:rsidR="00D37D86" w:rsidRPr="00E70E7D" w:rsidRDefault="00D37D86" w:rsidP="00FC0C44">
            <w:pPr>
              <w:rPr>
                <w:rFonts w:ascii="Calibri" w:eastAsia="Times New Roman" w:hAnsi="Calibri" w:cs="Calibri"/>
                <w:color w:val="000000"/>
                <w:lang w:eastAsia="en-GB"/>
              </w:rPr>
            </w:pPr>
            <w:r w:rsidRPr="00E70E7D">
              <w:rPr>
                <w:rFonts w:ascii="Calibri" w:hAnsi="Calibri" w:cs="Calibri"/>
                <w:color w:val="000000"/>
                <w:lang w:eastAsia="en-GB"/>
              </w:rPr>
              <w:t>Inflation and Contingency</w:t>
            </w:r>
          </w:p>
        </w:tc>
        <w:tc>
          <w:tcPr>
            <w:tcW w:w="1134" w:type="dxa"/>
            <w:tcBorders>
              <w:bottom w:val="single" w:sz="4" w:space="0" w:color="BFBFBF"/>
            </w:tcBorders>
            <w:shd w:val="clear" w:color="auto" w:fill="FFFFFF"/>
          </w:tcPr>
          <w:p w14:paraId="2E02E0FF"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12.3</w:t>
            </w:r>
          </w:p>
        </w:tc>
        <w:tc>
          <w:tcPr>
            <w:tcW w:w="1134" w:type="dxa"/>
            <w:tcBorders>
              <w:bottom w:val="single" w:sz="4" w:space="0" w:color="BFBFBF"/>
            </w:tcBorders>
            <w:shd w:val="clear" w:color="auto" w:fill="FFFFFF"/>
          </w:tcPr>
          <w:p w14:paraId="3F7E623D"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12.3</w:t>
            </w:r>
          </w:p>
        </w:tc>
        <w:tc>
          <w:tcPr>
            <w:tcW w:w="1134" w:type="dxa"/>
            <w:tcBorders>
              <w:bottom w:val="single" w:sz="4" w:space="0" w:color="BFBFBF"/>
            </w:tcBorders>
            <w:shd w:val="clear" w:color="auto" w:fill="FFFFFF"/>
          </w:tcPr>
          <w:p w14:paraId="6E8BA290"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0.0</w:t>
            </w:r>
          </w:p>
        </w:tc>
        <w:tc>
          <w:tcPr>
            <w:tcW w:w="1134" w:type="dxa"/>
            <w:tcBorders>
              <w:bottom w:val="single" w:sz="4" w:space="0" w:color="BFBFBF"/>
            </w:tcBorders>
            <w:shd w:val="clear" w:color="auto" w:fill="FFFFFF"/>
          </w:tcPr>
          <w:p w14:paraId="7DE8576F"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0.0</w:t>
            </w:r>
          </w:p>
        </w:tc>
        <w:tc>
          <w:tcPr>
            <w:tcW w:w="1134" w:type="dxa"/>
            <w:tcBorders>
              <w:bottom w:val="single" w:sz="4" w:space="0" w:color="BFBFBF"/>
            </w:tcBorders>
            <w:shd w:val="clear" w:color="auto" w:fill="FFFFFF"/>
          </w:tcPr>
          <w:p w14:paraId="556F3788"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0.0</w:t>
            </w:r>
          </w:p>
        </w:tc>
        <w:tc>
          <w:tcPr>
            <w:tcW w:w="1134" w:type="dxa"/>
            <w:tcBorders>
              <w:bottom w:val="single" w:sz="4" w:space="0" w:color="BFBFBF"/>
            </w:tcBorders>
            <w:shd w:val="clear" w:color="auto" w:fill="FFFFFF"/>
          </w:tcPr>
          <w:p w14:paraId="26B24023" w14:textId="77777777" w:rsidR="00D37D86" w:rsidRPr="00E70E7D" w:rsidRDefault="00D37D86" w:rsidP="00FC0C44">
            <w:pPr>
              <w:jc w:val="right"/>
              <w:rPr>
                <w:rFonts w:ascii="Calibri" w:eastAsia="Times New Roman" w:hAnsi="Calibri" w:cs="Calibri"/>
                <w:color w:val="000000"/>
                <w:lang w:eastAsia="en-GB"/>
              </w:rPr>
            </w:pPr>
            <w:r>
              <w:rPr>
                <w:rFonts w:ascii="Calibri" w:eastAsia="Times New Roman" w:hAnsi="Calibri" w:cs="Calibri"/>
                <w:color w:val="000000"/>
                <w:lang w:eastAsia="en-GB"/>
              </w:rPr>
              <w:t>0.0</w:t>
            </w:r>
          </w:p>
        </w:tc>
      </w:tr>
      <w:tr w:rsidR="00D37D86" w:rsidRPr="000D042C" w14:paraId="6BA2A844" w14:textId="77777777" w:rsidTr="00FC0C44">
        <w:tc>
          <w:tcPr>
            <w:tcW w:w="3119" w:type="dxa"/>
            <w:tcBorders>
              <w:bottom w:val="single" w:sz="4" w:space="0" w:color="BFBFBF"/>
            </w:tcBorders>
            <w:shd w:val="clear" w:color="auto" w:fill="FFFFFF"/>
          </w:tcPr>
          <w:p w14:paraId="5A1D40E8" w14:textId="77777777" w:rsidR="00D37D86" w:rsidRPr="00E70E7D" w:rsidRDefault="00D37D86" w:rsidP="00FC0C44">
            <w:pPr>
              <w:rPr>
                <w:rFonts w:ascii="Calibri" w:hAnsi="Calibri" w:cs="Calibri"/>
                <w:color w:val="000000"/>
                <w:lang w:eastAsia="en-GB"/>
              </w:rPr>
            </w:pPr>
            <w:r w:rsidRPr="00E70E7D">
              <w:rPr>
                <w:rFonts w:ascii="Calibri" w:hAnsi="Calibri" w:cs="Calibri"/>
                <w:color w:val="000000"/>
                <w:lang w:eastAsia="en-GB"/>
              </w:rPr>
              <w:t>Un-ringfenced Specific Grants</w:t>
            </w:r>
          </w:p>
        </w:tc>
        <w:tc>
          <w:tcPr>
            <w:tcW w:w="1134" w:type="dxa"/>
            <w:tcBorders>
              <w:bottom w:val="single" w:sz="4" w:space="0" w:color="BFBFBF"/>
            </w:tcBorders>
            <w:shd w:val="clear" w:color="auto" w:fill="FFFFFF"/>
          </w:tcPr>
          <w:p w14:paraId="2F4FDD99"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-33.1</w:t>
            </w:r>
          </w:p>
        </w:tc>
        <w:tc>
          <w:tcPr>
            <w:tcW w:w="1134" w:type="dxa"/>
            <w:tcBorders>
              <w:bottom w:val="single" w:sz="4" w:space="0" w:color="BFBFBF"/>
            </w:tcBorders>
            <w:shd w:val="clear" w:color="auto" w:fill="FFFFFF"/>
          </w:tcPr>
          <w:p w14:paraId="25F4FDD7"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-33.1</w:t>
            </w:r>
          </w:p>
        </w:tc>
        <w:tc>
          <w:tcPr>
            <w:tcW w:w="1134" w:type="dxa"/>
            <w:tcBorders>
              <w:bottom w:val="single" w:sz="4" w:space="0" w:color="BFBFBF"/>
            </w:tcBorders>
            <w:shd w:val="clear" w:color="auto" w:fill="FFFFFF"/>
          </w:tcPr>
          <w:p w14:paraId="42BAF0FB"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0.0</w:t>
            </w:r>
          </w:p>
        </w:tc>
        <w:tc>
          <w:tcPr>
            <w:tcW w:w="1134" w:type="dxa"/>
            <w:tcBorders>
              <w:bottom w:val="single" w:sz="4" w:space="0" w:color="BFBFBF"/>
            </w:tcBorders>
            <w:shd w:val="clear" w:color="auto" w:fill="FFFFFF"/>
          </w:tcPr>
          <w:p w14:paraId="18BB98CA"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0.0</w:t>
            </w:r>
          </w:p>
        </w:tc>
        <w:tc>
          <w:tcPr>
            <w:tcW w:w="1134" w:type="dxa"/>
            <w:tcBorders>
              <w:bottom w:val="single" w:sz="4" w:space="0" w:color="BFBFBF"/>
            </w:tcBorders>
            <w:shd w:val="clear" w:color="auto" w:fill="FFFFFF"/>
          </w:tcPr>
          <w:p w14:paraId="6FE13B6C"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0.0</w:t>
            </w:r>
          </w:p>
        </w:tc>
        <w:tc>
          <w:tcPr>
            <w:tcW w:w="1134" w:type="dxa"/>
            <w:tcBorders>
              <w:bottom w:val="single" w:sz="4" w:space="0" w:color="BFBFBF"/>
            </w:tcBorders>
            <w:shd w:val="clear" w:color="auto" w:fill="FFFFFF"/>
          </w:tcPr>
          <w:p w14:paraId="2EB1875C" w14:textId="77777777" w:rsidR="00D37D86" w:rsidRPr="00E70E7D" w:rsidRDefault="00D37D86" w:rsidP="00FC0C44">
            <w:pPr>
              <w:jc w:val="right"/>
              <w:rPr>
                <w:rFonts w:ascii="Calibri" w:eastAsia="Times New Roman" w:hAnsi="Calibri" w:cs="Calibri"/>
                <w:color w:val="000000"/>
                <w:lang w:eastAsia="en-GB"/>
              </w:rPr>
            </w:pPr>
            <w:r>
              <w:rPr>
                <w:rFonts w:ascii="Calibri" w:eastAsia="Times New Roman" w:hAnsi="Calibri" w:cs="Calibri"/>
                <w:color w:val="000000"/>
                <w:lang w:eastAsia="en-GB"/>
              </w:rPr>
              <w:t>0.0</w:t>
            </w:r>
          </w:p>
        </w:tc>
      </w:tr>
      <w:tr w:rsidR="00D37D86" w:rsidRPr="000D042C" w14:paraId="6DCF950B" w14:textId="77777777" w:rsidTr="00FC0C44">
        <w:tc>
          <w:tcPr>
            <w:tcW w:w="3119" w:type="dxa"/>
            <w:tcBorders>
              <w:bottom w:val="single" w:sz="4" w:space="0" w:color="BFBFBF"/>
            </w:tcBorders>
            <w:shd w:val="clear" w:color="auto" w:fill="FFFFFF"/>
          </w:tcPr>
          <w:p w14:paraId="5A1E1C5B" w14:textId="77777777" w:rsidR="00D37D86" w:rsidRPr="00E70E7D" w:rsidRDefault="00D37D86" w:rsidP="00FC0C44">
            <w:pPr>
              <w:rPr>
                <w:rFonts w:ascii="Calibri" w:hAnsi="Calibri" w:cs="Calibri"/>
                <w:color w:val="000000"/>
                <w:lang w:eastAsia="en-GB"/>
              </w:rPr>
            </w:pPr>
            <w:r w:rsidRPr="00E70E7D">
              <w:rPr>
                <w:rFonts w:ascii="Calibri" w:hAnsi="Calibri" w:cs="Calibri"/>
                <w:color w:val="000000"/>
                <w:lang w:eastAsia="en-GB"/>
              </w:rPr>
              <w:t>Insurance</w:t>
            </w:r>
          </w:p>
        </w:tc>
        <w:tc>
          <w:tcPr>
            <w:tcW w:w="1134" w:type="dxa"/>
            <w:tcBorders>
              <w:bottom w:val="single" w:sz="4" w:space="0" w:color="BFBFBF"/>
            </w:tcBorders>
            <w:shd w:val="clear" w:color="auto" w:fill="FFFFFF"/>
          </w:tcPr>
          <w:p w14:paraId="5032BF60"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1.4</w:t>
            </w:r>
          </w:p>
        </w:tc>
        <w:tc>
          <w:tcPr>
            <w:tcW w:w="1134" w:type="dxa"/>
            <w:tcBorders>
              <w:bottom w:val="single" w:sz="4" w:space="0" w:color="BFBFBF"/>
            </w:tcBorders>
            <w:shd w:val="clear" w:color="auto" w:fill="FFFFFF"/>
          </w:tcPr>
          <w:p w14:paraId="45E4AA6E"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1.4</w:t>
            </w:r>
          </w:p>
        </w:tc>
        <w:tc>
          <w:tcPr>
            <w:tcW w:w="1134" w:type="dxa"/>
            <w:tcBorders>
              <w:bottom w:val="single" w:sz="4" w:space="0" w:color="BFBFBF"/>
            </w:tcBorders>
            <w:shd w:val="clear" w:color="auto" w:fill="FFFFFF"/>
          </w:tcPr>
          <w:p w14:paraId="706B0EA8"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0.0</w:t>
            </w:r>
          </w:p>
        </w:tc>
        <w:tc>
          <w:tcPr>
            <w:tcW w:w="1134" w:type="dxa"/>
            <w:tcBorders>
              <w:bottom w:val="single" w:sz="4" w:space="0" w:color="BFBFBF"/>
            </w:tcBorders>
            <w:shd w:val="clear" w:color="auto" w:fill="FFFFFF"/>
          </w:tcPr>
          <w:p w14:paraId="561E34EC"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0.0</w:t>
            </w:r>
          </w:p>
        </w:tc>
        <w:tc>
          <w:tcPr>
            <w:tcW w:w="1134" w:type="dxa"/>
            <w:tcBorders>
              <w:bottom w:val="single" w:sz="4" w:space="0" w:color="BFBFBF"/>
            </w:tcBorders>
            <w:shd w:val="clear" w:color="auto" w:fill="FFFFFF"/>
          </w:tcPr>
          <w:p w14:paraId="5FE11F2B"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0.0</w:t>
            </w:r>
          </w:p>
        </w:tc>
        <w:tc>
          <w:tcPr>
            <w:tcW w:w="1134" w:type="dxa"/>
            <w:tcBorders>
              <w:bottom w:val="single" w:sz="4" w:space="0" w:color="BFBFBF"/>
            </w:tcBorders>
            <w:shd w:val="clear" w:color="auto" w:fill="FFFFFF"/>
          </w:tcPr>
          <w:p w14:paraId="5A75A1DE" w14:textId="77777777" w:rsidR="00D37D86" w:rsidRPr="00E70E7D" w:rsidRDefault="00D37D86" w:rsidP="00FC0C44">
            <w:pPr>
              <w:jc w:val="right"/>
              <w:rPr>
                <w:rFonts w:ascii="Calibri" w:eastAsia="Times New Roman" w:hAnsi="Calibri" w:cs="Calibri"/>
                <w:color w:val="000000"/>
                <w:lang w:eastAsia="en-GB"/>
              </w:rPr>
            </w:pPr>
            <w:r>
              <w:rPr>
                <w:rFonts w:ascii="Calibri" w:eastAsia="Times New Roman" w:hAnsi="Calibri" w:cs="Calibri"/>
                <w:color w:val="000000"/>
                <w:lang w:eastAsia="en-GB"/>
              </w:rPr>
              <w:t>0.0</w:t>
            </w:r>
          </w:p>
        </w:tc>
      </w:tr>
      <w:tr w:rsidR="00D37D86" w:rsidRPr="000D042C" w14:paraId="2B0CD36D" w14:textId="77777777" w:rsidTr="00FC0C44">
        <w:tc>
          <w:tcPr>
            <w:tcW w:w="3119" w:type="dxa"/>
            <w:tcBorders>
              <w:bottom w:val="single" w:sz="4" w:space="0" w:color="BFBFBF"/>
            </w:tcBorders>
            <w:shd w:val="clear" w:color="auto" w:fill="FFFFFF"/>
          </w:tcPr>
          <w:p w14:paraId="4F95A734" w14:textId="77777777" w:rsidR="00D37D86" w:rsidRPr="00E70E7D" w:rsidRDefault="00D37D86" w:rsidP="00FC0C44">
            <w:pPr>
              <w:rPr>
                <w:rFonts w:ascii="Calibri" w:hAnsi="Calibri" w:cs="Calibri"/>
                <w:color w:val="000000"/>
                <w:lang w:eastAsia="en-GB"/>
              </w:rPr>
            </w:pPr>
            <w:r w:rsidRPr="00575EF3">
              <w:rPr>
                <w:rFonts w:ascii="Calibri" w:hAnsi="Calibri" w:cs="Calibri"/>
                <w:color w:val="000000"/>
                <w:lang w:eastAsia="en-GB"/>
              </w:rPr>
              <w:t>Contribution from COVID-19 Reserve</w:t>
            </w:r>
          </w:p>
        </w:tc>
        <w:tc>
          <w:tcPr>
            <w:tcW w:w="1134" w:type="dxa"/>
            <w:tcBorders>
              <w:bottom w:val="single" w:sz="4" w:space="0" w:color="BFBFBF"/>
            </w:tcBorders>
            <w:shd w:val="clear" w:color="auto" w:fill="FFFFFF"/>
          </w:tcPr>
          <w:p w14:paraId="3B3C586C" w14:textId="77777777" w:rsidR="00D37D86" w:rsidRPr="00575EF3" w:rsidRDefault="00D37D86" w:rsidP="00FC0C44">
            <w:pPr>
              <w:jc w:val="right"/>
              <w:rPr>
                <w:rFonts w:ascii="Calibri" w:eastAsia="Times New Roman" w:hAnsi="Calibri" w:cs="Calibri"/>
                <w:color w:val="000000"/>
                <w:lang w:eastAsia="en-GB"/>
              </w:rPr>
            </w:pPr>
            <w:r w:rsidRPr="00575EF3">
              <w:rPr>
                <w:rFonts w:ascii="Calibri" w:eastAsia="Times New Roman" w:hAnsi="Calibri" w:cs="Calibri"/>
                <w:color w:val="000000"/>
                <w:lang w:eastAsia="en-GB"/>
              </w:rPr>
              <w:t>-8.4</w:t>
            </w:r>
          </w:p>
        </w:tc>
        <w:tc>
          <w:tcPr>
            <w:tcW w:w="1134" w:type="dxa"/>
            <w:tcBorders>
              <w:bottom w:val="single" w:sz="4" w:space="0" w:color="BFBFBF"/>
            </w:tcBorders>
            <w:shd w:val="clear" w:color="auto" w:fill="FFFFFF"/>
          </w:tcPr>
          <w:p w14:paraId="1518FB9B" w14:textId="77777777" w:rsidR="00D37D86" w:rsidRPr="00575EF3" w:rsidRDefault="00D37D86" w:rsidP="00FC0C44">
            <w:pPr>
              <w:jc w:val="right"/>
              <w:rPr>
                <w:rFonts w:ascii="Calibri" w:eastAsia="Times New Roman" w:hAnsi="Calibri" w:cs="Calibri"/>
                <w:color w:val="000000"/>
                <w:lang w:eastAsia="en-GB"/>
              </w:rPr>
            </w:pPr>
            <w:r w:rsidRPr="00575EF3">
              <w:rPr>
                <w:rFonts w:ascii="Calibri" w:eastAsia="Times New Roman" w:hAnsi="Calibri" w:cs="Calibri"/>
                <w:color w:val="000000"/>
                <w:lang w:eastAsia="en-GB"/>
              </w:rPr>
              <w:t>-8.4</w:t>
            </w:r>
          </w:p>
        </w:tc>
        <w:tc>
          <w:tcPr>
            <w:tcW w:w="1134" w:type="dxa"/>
            <w:tcBorders>
              <w:bottom w:val="single" w:sz="4" w:space="0" w:color="BFBFBF"/>
            </w:tcBorders>
            <w:shd w:val="clear" w:color="auto" w:fill="FFFFFF"/>
          </w:tcPr>
          <w:p w14:paraId="7A793103" w14:textId="77777777" w:rsidR="00D37D86" w:rsidRPr="00575EF3" w:rsidRDefault="00D37D86" w:rsidP="00FC0C44">
            <w:pPr>
              <w:jc w:val="right"/>
              <w:rPr>
                <w:rFonts w:ascii="Calibri" w:eastAsia="Times New Roman" w:hAnsi="Calibri" w:cs="Calibri"/>
                <w:color w:val="000000"/>
                <w:lang w:eastAsia="en-GB"/>
              </w:rPr>
            </w:pPr>
            <w:r w:rsidRPr="00575EF3">
              <w:rPr>
                <w:rFonts w:ascii="Calibri" w:eastAsia="Times New Roman" w:hAnsi="Calibri" w:cs="Calibri"/>
                <w:color w:val="000000"/>
                <w:lang w:eastAsia="en-GB"/>
              </w:rPr>
              <w:t>0.0</w:t>
            </w:r>
          </w:p>
        </w:tc>
        <w:tc>
          <w:tcPr>
            <w:tcW w:w="1134" w:type="dxa"/>
            <w:tcBorders>
              <w:bottom w:val="single" w:sz="4" w:space="0" w:color="BFBFBF"/>
            </w:tcBorders>
            <w:shd w:val="clear" w:color="auto" w:fill="FFFFFF"/>
          </w:tcPr>
          <w:p w14:paraId="165A39C7" w14:textId="77777777" w:rsidR="00D37D86" w:rsidRPr="00575EF3" w:rsidRDefault="00D37D86" w:rsidP="00FC0C44">
            <w:pPr>
              <w:jc w:val="right"/>
              <w:rPr>
                <w:rFonts w:ascii="Calibri" w:eastAsia="Times New Roman" w:hAnsi="Calibri" w:cs="Calibri"/>
                <w:color w:val="000000"/>
                <w:lang w:eastAsia="en-GB"/>
              </w:rPr>
            </w:pPr>
            <w:r w:rsidRPr="00575EF3">
              <w:rPr>
                <w:rFonts w:ascii="Calibri" w:eastAsia="Times New Roman" w:hAnsi="Calibri" w:cs="Calibri"/>
                <w:color w:val="000000"/>
                <w:lang w:eastAsia="en-GB"/>
              </w:rPr>
              <w:t>0.0</w:t>
            </w:r>
          </w:p>
        </w:tc>
        <w:tc>
          <w:tcPr>
            <w:tcW w:w="1134" w:type="dxa"/>
            <w:tcBorders>
              <w:bottom w:val="single" w:sz="4" w:space="0" w:color="BFBFBF"/>
            </w:tcBorders>
            <w:shd w:val="clear" w:color="auto" w:fill="FFFFFF"/>
          </w:tcPr>
          <w:p w14:paraId="1E673A2C" w14:textId="77777777" w:rsidR="00D37D86" w:rsidRPr="00575EF3" w:rsidRDefault="00D37D86" w:rsidP="00FC0C44">
            <w:pPr>
              <w:jc w:val="right"/>
              <w:rPr>
                <w:rFonts w:ascii="Calibri" w:eastAsia="Times New Roman" w:hAnsi="Calibri" w:cs="Calibri"/>
                <w:color w:val="000000"/>
                <w:lang w:eastAsia="en-GB"/>
              </w:rPr>
            </w:pPr>
            <w:r w:rsidRPr="00575EF3">
              <w:rPr>
                <w:rFonts w:ascii="Calibri" w:eastAsia="Times New Roman" w:hAnsi="Calibri" w:cs="Calibri"/>
                <w:color w:val="000000"/>
                <w:lang w:eastAsia="en-GB"/>
              </w:rPr>
              <w:t>0.0</w:t>
            </w:r>
          </w:p>
        </w:tc>
        <w:tc>
          <w:tcPr>
            <w:tcW w:w="1134" w:type="dxa"/>
            <w:tcBorders>
              <w:bottom w:val="single" w:sz="4" w:space="0" w:color="BFBFBF"/>
            </w:tcBorders>
            <w:shd w:val="clear" w:color="auto" w:fill="FFFFFF"/>
          </w:tcPr>
          <w:p w14:paraId="792F6A45" w14:textId="77777777" w:rsidR="00D37D86" w:rsidRPr="0083360B" w:rsidRDefault="00D37D86" w:rsidP="00FC0C44">
            <w:pPr>
              <w:jc w:val="right"/>
              <w:rPr>
                <w:rFonts w:ascii="Calibri" w:eastAsia="Times New Roman" w:hAnsi="Calibri" w:cs="Calibri"/>
                <w:color w:val="000000"/>
                <w:lang w:eastAsia="en-GB"/>
              </w:rPr>
            </w:pPr>
            <w:r w:rsidRPr="0083360B">
              <w:rPr>
                <w:rFonts w:ascii="Calibri" w:eastAsia="Times New Roman" w:hAnsi="Calibri" w:cs="Calibri"/>
                <w:color w:val="000000"/>
                <w:lang w:eastAsia="en-GB"/>
              </w:rPr>
              <w:t>0.0</w:t>
            </w:r>
          </w:p>
        </w:tc>
      </w:tr>
      <w:tr w:rsidR="00D37D86" w:rsidRPr="000D042C" w14:paraId="251D7116" w14:textId="77777777" w:rsidTr="00FC0C44">
        <w:tc>
          <w:tcPr>
            <w:tcW w:w="3119" w:type="dxa"/>
            <w:tcBorders>
              <w:bottom w:val="single" w:sz="4" w:space="0" w:color="BFBFBF"/>
            </w:tcBorders>
            <w:shd w:val="clear" w:color="auto" w:fill="FFFFFF"/>
          </w:tcPr>
          <w:p w14:paraId="2617C7E7" w14:textId="77777777" w:rsidR="00D37D86" w:rsidRPr="00E70E7D" w:rsidRDefault="00D37D86" w:rsidP="00FC0C44">
            <w:pPr>
              <w:rPr>
                <w:rFonts w:ascii="Calibri" w:eastAsia="Times New Roman" w:hAnsi="Calibri" w:cs="Calibri"/>
                <w:color w:val="000000"/>
                <w:lang w:eastAsia="en-GB"/>
              </w:rPr>
            </w:pPr>
            <w:r>
              <w:rPr>
                <w:rFonts w:ascii="Calibri" w:hAnsi="Calibri" w:cs="Calibri"/>
                <w:color w:val="000000"/>
                <w:lang w:eastAsia="en-GB"/>
              </w:rPr>
              <w:t>Budgeted c</w:t>
            </w:r>
            <w:r w:rsidRPr="00E70E7D">
              <w:rPr>
                <w:rFonts w:ascii="Calibri" w:hAnsi="Calibri" w:cs="Calibri"/>
                <w:color w:val="000000"/>
                <w:lang w:eastAsia="en-GB"/>
              </w:rPr>
              <w:t>ontributions to reserves</w:t>
            </w:r>
          </w:p>
        </w:tc>
        <w:tc>
          <w:tcPr>
            <w:tcW w:w="1134" w:type="dxa"/>
            <w:tcBorders>
              <w:bottom w:val="single" w:sz="4" w:space="0" w:color="BFBFBF"/>
            </w:tcBorders>
            <w:shd w:val="clear" w:color="auto" w:fill="FFFFFF"/>
          </w:tcPr>
          <w:p w14:paraId="795CB172" w14:textId="77777777" w:rsidR="00D37D86" w:rsidRPr="00E70E7D" w:rsidRDefault="00D37D86" w:rsidP="00FC0C44">
            <w:pPr>
              <w:jc w:val="right"/>
              <w:rPr>
                <w:rFonts w:ascii="Calibri" w:eastAsia="Times New Roman" w:hAnsi="Calibri" w:cs="Calibri"/>
                <w:color w:val="000000"/>
                <w:lang w:eastAsia="en-GB"/>
              </w:rPr>
            </w:pPr>
            <w:r>
              <w:rPr>
                <w:rFonts w:ascii="Calibri" w:eastAsia="Times New Roman" w:hAnsi="Calibri" w:cs="Calibri"/>
                <w:color w:val="000000"/>
                <w:lang w:eastAsia="en-GB"/>
              </w:rPr>
              <w:t>24.2</w:t>
            </w:r>
          </w:p>
        </w:tc>
        <w:tc>
          <w:tcPr>
            <w:tcW w:w="1134" w:type="dxa"/>
            <w:tcBorders>
              <w:bottom w:val="single" w:sz="4" w:space="0" w:color="BFBFBF"/>
            </w:tcBorders>
            <w:shd w:val="clear" w:color="auto" w:fill="FFFFFF"/>
          </w:tcPr>
          <w:p w14:paraId="74105C05" w14:textId="77777777" w:rsidR="00D37D86" w:rsidRPr="00E70E7D" w:rsidRDefault="00D37D86" w:rsidP="00FC0C44">
            <w:pPr>
              <w:jc w:val="right"/>
              <w:rPr>
                <w:rFonts w:ascii="Calibri" w:eastAsia="Times New Roman" w:hAnsi="Calibri" w:cs="Calibri"/>
                <w:color w:val="000000"/>
                <w:lang w:eastAsia="en-GB"/>
              </w:rPr>
            </w:pPr>
            <w:r>
              <w:rPr>
                <w:rFonts w:ascii="Calibri" w:eastAsia="Times New Roman" w:hAnsi="Calibri" w:cs="Calibri"/>
                <w:color w:val="000000"/>
                <w:lang w:eastAsia="en-GB"/>
              </w:rPr>
              <w:t>24.2</w:t>
            </w:r>
          </w:p>
        </w:tc>
        <w:tc>
          <w:tcPr>
            <w:tcW w:w="1134" w:type="dxa"/>
            <w:tcBorders>
              <w:bottom w:val="single" w:sz="4" w:space="0" w:color="BFBFBF"/>
            </w:tcBorders>
            <w:shd w:val="clear" w:color="auto" w:fill="FFFFFF"/>
          </w:tcPr>
          <w:p w14:paraId="32A72487"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0.0</w:t>
            </w:r>
          </w:p>
        </w:tc>
        <w:tc>
          <w:tcPr>
            <w:tcW w:w="1134" w:type="dxa"/>
            <w:tcBorders>
              <w:bottom w:val="single" w:sz="4" w:space="0" w:color="BFBFBF"/>
            </w:tcBorders>
            <w:shd w:val="clear" w:color="auto" w:fill="FFFFFF"/>
          </w:tcPr>
          <w:p w14:paraId="51311A7F"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0.0</w:t>
            </w:r>
          </w:p>
        </w:tc>
        <w:tc>
          <w:tcPr>
            <w:tcW w:w="1134" w:type="dxa"/>
            <w:tcBorders>
              <w:bottom w:val="single" w:sz="4" w:space="0" w:color="BFBFBF"/>
            </w:tcBorders>
            <w:shd w:val="clear" w:color="auto" w:fill="FFFFFF"/>
          </w:tcPr>
          <w:p w14:paraId="63D2509A"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0.0</w:t>
            </w:r>
          </w:p>
        </w:tc>
        <w:tc>
          <w:tcPr>
            <w:tcW w:w="1134" w:type="dxa"/>
            <w:tcBorders>
              <w:bottom w:val="single" w:sz="4" w:space="0" w:color="BFBFBF"/>
            </w:tcBorders>
            <w:shd w:val="clear" w:color="auto" w:fill="FFFFFF"/>
          </w:tcPr>
          <w:p w14:paraId="166B1551" w14:textId="77777777" w:rsidR="00D37D86" w:rsidRPr="00E70E7D" w:rsidRDefault="00D37D86" w:rsidP="00FC0C44">
            <w:pPr>
              <w:jc w:val="right"/>
              <w:rPr>
                <w:rFonts w:ascii="Calibri" w:eastAsia="Times New Roman" w:hAnsi="Calibri" w:cs="Calibri"/>
                <w:color w:val="000000"/>
                <w:lang w:eastAsia="en-GB"/>
              </w:rPr>
            </w:pPr>
            <w:r>
              <w:rPr>
                <w:rFonts w:ascii="Calibri" w:eastAsia="Times New Roman" w:hAnsi="Calibri" w:cs="Calibri"/>
                <w:color w:val="000000"/>
                <w:lang w:eastAsia="en-GB"/>
              </w:rPr>
              <w:t>0.0</w:t>
            </w:r>
          </w:p>
        </w:tc>
      </w:tr>
      <w:tr w:rsidR="00D37D86" w:rsidRPr="007442E9" w14:paraId="6D160212" w14:textId="77777777" w:rsidTr="00FC0C44">
        <w:tc>
          <w:tcPr>
            <w:tcW w:w="3119" w:type="dxa"/>
            <w:tcBorders>
              <w:bottom w:val="single" w:sz="4" w:space="0" w:color="BFBFBF"/>
            </w:tcBorders>
            <w:shd w:val="clear" w:color="auto" w:fill="FFFFFF"/>
          </w:tcPr>
          <w:p w14:paraId="7588165B" w14:textId="77777777" w:rsidR="00D37D86" w:rsidRPr="00E70E7D" w:rsidRDefault="00D37D86" w:rsidP="00FC0C44">
            <w:pPr>
              <w:rPr>
                <w:rFonts w:ascii="Calibri" w:hAnsi="Calibri" w:cs="Calibri"/>
                <w:b/>
                <w:bCs/>
                <w:color w:val="000000"/>
                <w:lang w:eastAsia="en-GB"/>
              </w:rPr>
            </w:pPr>
            <w:r w:rsidRPr="00E70E7D">
              <w:rPr>
                <w:rFonts w:ascii="Calibri" w:hAnsi="Calibri" w:cs="Calibri"/>
                <w:b/>
                <w:bCs/>
                <w:color w:val="000000"/>
                <w:lang w:eastAsia="en-GB"/>
              </w:rPr>
              <w:t>Total Budgets Held Centrally</w:t>
            </w:r>
          </w:p>
        </w:tc>
        <w:tc>
          <w:tcPr>
            <w:tcW w:w="1134" w:type="dxa"/>
            <w:tcBorders>
              <w:bottom w:val="single" w:sz="4" w:space="0" w:color="BFBFBF"/>
            </w:tcBorders>
            <w:shd w:val="clear" w:color="auto" w:fill="FFFFFF"/>
          </w:tcPr>
          <w:p w14:paraId="00CE9833" w14:textId="77777777" w:rsidR="00D37D86" w:rsidRPr="00E70E7D" w:rsidRDefault="00D37D86" w:rsidP="00FC0C44">
            <w:pPr>
              <w:jc w:val="right"/>
              <w:rPr>
                <w:rFonts w:ascii="Calibri" w:eastAsia="Times New Roman" w:hAnsi="Calibri" w:cs="Calibri"/>
                <w:b/>
                <w:bCs/>
                <w:color w:val="000000"/>
                <w:lang w:eastAsia="en-GB"/>
              </w:rPr>
            </w:pPr>
            <w:r w:rsidRPr="00E70E7D">
              <w:rPr>
                <w:rFonts w:ascii="Calibri" w:eastAsia="Times New Roman" w:hAnsi="Calibri" w:cs="Calibri"/>
                <w:b/>
                <w:bCs/>
                <w:color w:val="000000"/>
                <w:lang w:eastAsia="en-GB"/>
              </w:rPr>
              <w:t>9.5</w:t>
            </w:r>
          </w:p>
        </w:tc>
        <w:tc>
          <w:tcPr>
            <w:tcW w:w="1134" w:type="dxa"/>
            <w:tcBorders>
              <w:bottom w:val="single" w:sz="4" w:space="0" w:color="BFBFBF"/>
            </w:tcBorders>
            <w:shd w:val="clear" w:color="auto" w:fill="FFFFFF"/>
          </w:tcPr>
          <w:p w14:paraId="10B188D0" w14:textId="77777777" w:rsidR="00D37D86" w:rsidRPr="00E70E7D" w:rsidRDefault="00D37D86" w:rsidP="00FC0C44">
            <w:pPr>
              <w:jc w:val="right"/>
              <w:rPr>
                <w:rFonts w:ascii="Calibri" w:eastAsia="Times New Roman" w:hAnsi="Calibri" w:cs="Calibri"/>
                <w:b/>
                <w:bCs/>
                <w:color w:val="000000"/>
                <w:lang w:eastAsia="en-GB"/>
              </w:rPr>
            </w:pPr>
            <w:r w:rsidRPr="00E70E7D">
              <w:rPr>
                <w:rFonts w:ascii="Calibri" w:eastAsia="Times New Roman" w:hAnsi="Calibri" w:cs="Calibri"/>
                <w:b/>
                <w:bCs/>
                <w:color w:val="000000"/>
                <w:lang w:eastAsia="en-GB"/>
              </w:rPr>
              <w:t>8.2</w:t>
            </w:r>
          </w:p>
        </w:tc>
        <w:tc>
          <w:tcPr>
            <w:tcW w:w="1134" w:type="dxa"/>
            <w:tcBorders>
              <w:bottom w:val="single" w:sz="4" w:space="0" w:color="BFBFBF"/>
            </w:tcBorders>
            <w:shd w:val="clear" w:color="auto" w:fill="FFFFFF"/>
          </w:tcPr>
          <w:p w14:paraId="05DA5475" w14:textId="77777777" w:rsidR="00D37D86" w:rsidRPr="00E70E7D" w:rsidRDefault="00D37D86" w:rsidP="00FC0C44">
            <w:pPr>
              <w:jc w:val="right"/>
              <w:rPr>
                <w:rFonts w:ascii="Calibri" w:eastAsia="Times New Roman" w:hAnsi="Calibri" w:cs="Calibri"/>
                <w:b/>
                <w:bCs/>
                <w:color w:val="000000"/>
                <w:lang w:eastAsia="en-GB"/>
              </w:rPr>
            </w:pPr>
            <w:r w:rsidRPr="00E70E7D">
              <w:rPr>
                <w:rFonts w:ascii="Calibri" w:eastAsia="Times New Roman" w:hAnsi="Calibri" w:cs="Calibri"/>
                <w:b/>
                <w:bCs/>
                <w:color w:val="000000"/>
                <w:lang w:eastAsia="en-GB"/>
              </w:rPr>
              <w:t>-1.3</w:t>
            </w:r>
          </w:p>
        </w:tc>
        <w:tc>
          <w:tcPr>
            <w:tcW w:w="1134" w:type="dxa"/>
            <w:tcBorders>
              <w:bottom w:val="single" w:sz="4" w:space="0" w:color="BFBFBF"/>
            </w:tcBorders>
            <w:shd w:val="clear" w:color="auto" w:fill="FFFFFF"/>
          </w:tcPr>
          <w:p w14:paraId="23E6B0A9" w14:textId="77777777" w:rsidR="00D37D86" w:rsidRPr="00E70E7D" w:rsidRDefault="00D37D86" w:rsidP="00FC0C44">
            <w:pPr>
              <w:jc w:val="right"/>
              <w:rPr>
                <w:rFonts w:ascii="Calibri" w:eastAsia="Times New Roman" w:hAnsi="Calibri" w:cs="Calibri"/>
                <w:b/>
                <w:bCs/>
                <w:color w:val="000000"/>
                <w:lang w:eastAsia="en-GB"/>
              </w:rPr>
            </w:pPr>
            <w:r w:rsidRPr="00E70E7D">
              <w:rPr>
                <w:rFonts w:ascii="Calibri" w:eastAsia="Times New Roman" w:hAnsi="Calibri" w:cs="Calibri"/>
                <w:b/>
                <w:bCs/>
                <w:color w:val="000000"/>
                <w:lang w:eastAsia="en-GB"/>
              </w:rPr>
              <w:t>-0.3</w:t>
            </w:r>
          </w:p>
        </w:tc>
        <w:tc>
          <w:tcPr>
            <w:tcW w:w="1134" w:type="dxa"/>
            <w:tcBorders>
              <w:bottom w:val="single" w:sz="4" w:space="0" w:color="BFBFBF"/>
            </w:tcBorders>
            <w:shd w:val="clear" w:color="auto" w:fill="FFFFFF"/>
          </w:tcPr>
          <w:p w14:paraId="6413FC4D" w14:textId="77777777" w:rsidR="00D37D86" w:rsidRPr="00E70E7D" w:rsidRDefault="00D37D86" w:rsidP="00FC0C44">
            <w:pPr>
              <w:jc w:val="right"/>
              <w:rPr>
                <w:rFonts w:ascii="Calibri" w:eastAsia="Times New Roman" w:hAnsi="Calibri" w:cs="Calibri"/>
                <w:b/>
                <w:bCs/>
                <w:color w:val="000000"/>
                <w:lang w:eastAsia="en-GB"/>
              </w:rPr>
            </w:pPr>
            <w:r w:rsidRPr="00E70E7D">
              <w:rPr>
                <w:rFonts w:ascii="Calibri" w:eastAsia="Times New Roman" w:hAnsi="Calibri" w:cs="Calibri"/>
                <w:b/>
                <w:bCs/>
                <w:color w:val="000000"/>
                <w:lang w:eastAsia="en-GB"/>
              </w:rPr>
              <w:t>-1.1</w:t>
            </w:r>
          </w:p>
        </w:tc>
        <w:tc>
          <w:tcPr>
            <w:tcW w:w="1134" w:type="dxa"/>
            <w:tcBorders>
              <w:bottom w:val="single" w:sz="4" w:space="0" w:color="BFBFBF"/>
            </w:tcBorders>
            <w:shd w:val="clear" w:color="auto" w:fill="FFFFFF"/>
          </w:tcPr>
          <w:p w14:paraId="6DC3014E" w14:textId="77777777" w:rsidR="00D37D86" w:rsidRPr="00E70E7D" w:rsidRDefault="00D37D86" w:rsidP="00FC0C44">
            <w:pPr>
              <w:jc w:val="right"/>
              <w:rPr>
                <w:rFonts w:ascii="Calibri" w:eastAsia="Times New Roman" w:hAnsi="Calibri" w:cs="Calibri"/>
                <w:b/>
                <w:bCs/>
                <w:color w:val="000000"/>
                <w:lang w:eastAsia="en-GB"/>
              </w:rPr>
            </w:pPr>
            <w:r w:rsidRPr="00E70E7D">
              <w:rPr>
                <w:rFonts w:ascii="Calibri" w:eastAsia="Times New Roman" w:hAnsi="Calibri" w:cs="Calibri"/>
                <w:b/>
                <w:bCs/>
                <w:color w:val="000000"/>
                <w:lang w:eastAsia="en-GB"/>
              </w:rPr>
              <w:t>-0.2</w:t>
            </w:r>
          </w:p>
        </w:tc>
      </w:tr>
      <w:tr w:rsidR="00D37D86" w:rsidRPr="000D042C" w14:paraId="5A7F129E" w14:textId="77777777" w:rsidTr="00FC0C44">
        <w:trPr>
          <w:trHeight w:val="355"/>
        </w:trPr>
        <w:tc>
          <w:tcPr>
            <w:tcW w:w="3119" w:type="dxa"/>
            <w:shd w:val="clear" w:color="auto" w:fill="00483A"/>
          </w:tcPr>
          <w:p w14:paraId="005A6CBF" w14:textId="77777777" w:rsidR="00D37D86" w:rsidRPr="00E70E7D" w:rsidRDefault="00D37D86" w:rsidP="00FC0C44">
            <w:pPr>
              <w:jc w:val="both"/>
              <w:rPr>
                <w:rFonts w:eastAsia="Times New Roman"/>
                <w:b/>
              </w:rPr>
            </w:pPr>
            <w:bookmarkStart w:id="10" w:name="_Hlk106713602"/>
            <w:bookmarkEnd w:id="9"/>
            <w:r w:rsidRPr="00E70E7D">
              <w:rPr>
                <w:rFonts w:eastAsia="Times New Roman"/>
                <w:b/>
              </w:rPr>
              <w:t>Net Operating Budget</w:t>
            </w:r>
          </w:p>
        </w:tc>
        <w:tc>
          <w:tcPr>
            <w:tcW w:w="1134" w:type="dxa"/>
            <w:shd w:val="clear" w:color="auto" w:fill="00483A"/>
          </w:tcPr>
          <w:p w14:paraId="280A86C6" w14:textId="77777777" w:rsidR="00D37D86" w:rsidRPr="00E70E7D" w:rsidRDefault="00D37D86" w:rsidP="00FC0C44">
            <w:pPr>
              <w:jc w:val="right"/>
              <w:rPr>
                <w:rFonts w:eastAsia="Times New Roman"/>
                <w:b/>
              </w:rPr>
            </w:pPr>
            <w:r w:rsidRPr="00E70E7D">
              <w:rPr>
                <w:rFonts w:eastAsia="Times New Roman"/>
                <w:b/>
              </w:rPr>
              <w:t>520.4</w:t>
            </w:r>
          </w:p>
        </w:tc>
        <w:tc>
          <w:tcPr>
            <w:tcW w:w="1134" w:type="dxa"/>
            <w:shd w:val="clear" w:color="auto" w:fill="00483A"/>
          </w:tcPr>
          <w:p w14:paraId="36E113ED" w14:textId="77777777" w:rsidR="00D37D86" w:rsidRPr="00E70E7D" w:rsidRDefault="00D37D86" w:rsidP="00FC0C44">
            <w:pPr>
              <w:jc w:val="right"/>
              <w:rPr>
                <w:rFonts w:eastAsia="Times New Roman"/>
                <w:b/>
              </w:rPr>
            </w:pPr>
            <w:r w:rsidRPr="00E70E7D">
              <w:rPr>
                <w:rFonts w:eastAsia="Times New Roman"/>
                <w:b/>
              </w:rPr>
              <w:t>528.6</w:t>
            </w:r>
          </w:p>
        </w:tc>
        <w:tc>
          <w:tcPr>
            <w:tcW w:w="1134" w:type="dxa"/>
            <w:shd w:val="clear" w:color="auto" w:fill="00483A"/>
          </w:tcPr>
          <w:p w14:paraId="73C64396" w14:textId="77777777" w:rsidR="00D37D86" w:rsidRPr="00E70E7D" w:rsidRDefault="00D37D86" w:rsidP="00FC0C44">
            <w:pPr>
              <w:jc w:val="right"/>
              <w:rPr>
                <w:rFonts w:eastAsia="Times New Roman"/>
                <w:b/>
              </w:rPr>
            </w:pPr>
            <w:r>
              <w:rPr>
                <w:rFonts w:eastAsia="Times New Roman"/>
                <w:b/>
              </w:rPr>
              <w:t>5.9</w:t>
            </w:r>
          </w:p>
        </w:tc>
        <w:tc>
          <w:tcPr>
            <w:tcW w:w="1134" w:type="dxa"/>
            <w:shd w:val="clear" w:color="auto" w:fill="00483A"/>
          </w:tcPr>
          <w:p w14:paraId="181BBF31" w14:textId="77777777" w:rsidR="00D37D86" w:rsidRPr="00E70E7D" w:rsidRDefault="00D37D86" w:rsidP="00FC0C44">
            <w:pPr>
              <w:jc w:val="right"/>
              <w:rPr>
                <w:rFonts w:eastAsia="Times New Roman"/>
                <w:b/>
              </w:rPr>
            </w:pPr>
            <w:r w:rsidRPr="00E70E7D">
              <w:rPr>
                <w:rFonts w:eastAsia="Times New Roman"/>
                <w:b/>
              </w:rPr>
              <w:t>1.</w:t>
            </w:r>
            <w:r>
              <w:rPr>
                <w:rFonts w:eastAsia="Times New Roman"/>
                <w:b/>
              </w:rPr>
              <w:t>1</w:t>
            </w:r>
          </w:p>
          <w:p w14:paraId="7B826B47" w14:textId="77777777" w:rsidR="00D37D86" w:rsidRPr="00E70E7D" w:rsidRDefault="00D37D86" w:rsidP="00FC0C44">
            <w:pPr>
              <w:jc w:val="right"/>
              <w:rPr>
                <w:rFonts w:eastAsia="Times New Roman"/>
                <w:b/>
              </w:rPr>
            </w:pPr>
          </w:p>
        </w:tc>
        <w:tc>
          <w:tcPr>
            <w:tcW w:w="1134" w:type="dxa"/>
            <w:shd w:val="clear" w:color="auto" w:fill="00483A"/>
          </w:tcPr>
          <w:p w14:paraId="555A70A3" w14:textId="77777777" w:rsidR="00D37D86" w:rsidRPr="004F020B" w:rsidRDefault="00D37D86" w:rsidP="00FC0C44">
            <w:pPr>
              <w:jc w:val="right"/>
              <w:rPr>
                <w:rFonts w:ascii="Calibri" w:eastAsia="Times New Roman" w:hAnsi="Calibri" w:cs="Calibri"/>
                <w:b/>
                <w:bCs/>
                <w:color w:val="000000"/>
                <w:highlight w:val="yellow"/>
                <w:lang w:eastAsia="en-GB"/>
              </w:rPr>
            </w:pPr>
            <w:r w:rsidRPr="004F020B">
              <w:rPr>
                <w:rFonts w:ascii="Calibri" w:eastAsia="Times New Roman" w:hAnsi="Calibri" w:cs="Calibri"/>
                <w:b/>
                <w:bCs/>
                <w:color w:val="FFFFFF" w:themeColor="background1"/>
                <w:lang w:eastAsia="en-GB"/>
              </w:rPr>
              <w:t>4.4</w:t>
            </w:r>
          </w:p>
        </w:tc>
        <w:tc>
          <w:tcPr>
            <w:tcW w:w="1134" w:type="dxa"/>
            <w:shd w:val="clear" w:color="auto" w:fill="00483A"/>
          </w:tcPr>
          <w:p w14:paraId="09A00226" w14:textId="77777777" w:rsidR="00D37D86" w:rsidRPr="00E70E7D" w:rsidRDefault="00D37D86" w:rsidP="00FC0C44">
            <w:pPr>
              <w:jc w:val="right"/>
              <w:rPr>
                <w:rFonts w:eastAsia="Times New Roman"/>
                <w:b/>
              </w:rPr>
            </w:pPr>
            <w:r w:rsidRPr="00E70E7D">
              <w:rPr>
                <w:rFonts w:eastAsia="Times New Roman"/>
                <w:b/>
              </w:rPr>
              <w:t>+</w:t>
            </w:r>
            <w:r>
              <w:rPr>
                <w:rFonts w:eastAsia="Times New Roman"/>
                <w:b/>
              </w:rPr>
              <w:t>1.5</w:t>
            </w:r>
          </w:p>
        </w:tc>
      </w:tr>
      <w:bookmarkEnd w:id="10"/>
      <w:tr w:rsidR="00D37D86" w:rsidRPr="00E352B3" w14:paraId="1D167CE0" w14:textId="77777777" w:rsidTr="00FC0C44">
        <w:tc>
          <w:tcPr>
            <w:tcW w:w="3119" w:type="dxa"/>
            <w:tcBorders>
              <w:bottom w:val="single" w:sz="4" w:space="0" w:color="BFBFBF"/>
            </w:tcBorders>
            <w:shd w:val="clear" w:color="auto" w:fill="FFFFFF"/>
          </w:tcPr>
          <w:p w14:paraId="57FA14AF" w14:textId="77777777" w:rsidR="00D37D86" w:rsidRPr="00E70E7D" w:rsidRDefault="00D37D86" w:rsidP="00FC0C44">
            <w:pPr>
              <w:rPr>
                <w:rFonts w:ascii="Calibri" w:eastAsia="Times New Roman" w:hAnsi="Calibri" w:cs="Calibri"/>
                <w:color w:val="000000"/>
                <w:lang w:eastAsia="en-GB"/>
              </w:rPr>
            </w:pPr>
            <w:r w:rsidRPr="00E10696">
              <w:rPr>
                <w:rFonts w:ascii="Calibri" w:hAnsi="Calibri" w:cs="Calibri"/>
                <w:color w:val="000000"/>
                <w:lang w:eastAsia="en-GB"/>
              </w:rPr>
              <w:t>Business Rates &amp; Council Tax funding</w:t>
            </w:r>
          </w:p>
        </w:tc>
        <w:tc>
          <w:tcPr>
            <w:tcW w:w="1134" w:type="dxa"/>
            <w:tcBorders>
              <w:bottom w:val="single" w:sz="4" w:space="0" w:color="BFBFBF"/>
            </w:tcBorders>
            <w:shd w:val="clear" w:color="auto" w:fill="FFFFFF"/>
          </w:tcPr>
          <w:p w14:paraId="2FF85CE2"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-520.4</w:t>
            </w:r>
          </w:p>
        </w:tc>
        <w:tc>
          <w:tcPr>
            <w:tcW w:w="1134" w:type="dxa"/>
            <w:tcBorders>
              <w:bottom w:val="single" w:sz="4" w:space="0" w:color="BFBFBF"/>
            </w:tcBorders>
            <w:shd w:val="clear" w:color="auto" w:fill="FFFFFF"/>
          </w:tcPr>
          <w:p w14:paraId="661025BD"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-520.4</w:t>
            </w:r>
          </w:p>
        </w:tc>
        <w:tc>
          <w:tcPr>
            <w:tcW w:w="1134" w:type="dxa"/>
            <w:tcBorders>
              <w:bottom w:val="single" w:sz="4" w:space="0" w:color="BFBFBF"/>
            </w:tcBorders>
            <w:shd w:val="clear" w:color="auto" w:fill="FFFFFF"/>
          </w:tcPr>
          <w:p w14:paraId="1484A31F" w14:textId="77777777" w:rsidR="00D37D86" w:rsidRPr="00E70E7D" w:rsidRDefault="00D37D86" w:rsidP="00FC0C44">
            <w:pPr>
              <w:jc w:val="right"/>
              <w:rPr>
                <w:rFonts w:ascii="Calibri" w:eastAsia="Times New Roman" w:hAnsi="Calibri" w:cs="Calibri"/>
                <w:color w:val="000000"/>
                <w:lang w:eastAsia="en-GB"/>
              </w:rPr>
            </w:pPr>
            <w:r w:rsidRPr="00E70E7D">
              <w:rPr>
                <w:rFonts w:ascii="Calibri" w:eastAsia="Times New Roman" w:hAnsi="Calibri" w:cs="Calibri"/>
                <w:color w:val="000000"/>
                <w:lang w:eastAsia="en-GB"/>
              </w:rPr>
              <w:t>0.0</w:t>
            </w:r>
          </w:p>
        </w:tc>
        <w:tc>
          <w:tcPr>
            <w:tcW w:w="1134" w:type="dxa"/>
            <w:tcBorders>
              <w:bottom w:val="single" w:sz="4" w:space="0" w:color="BFBFBF"/>
            </w:tcBorders>
            <w:shd w:val="clear" w:color="auto" w:fill="FFFFFF"/>
          </w:tcPr>
          <w:p w14:paraId="3F729F79" w14:textId="77777777" w:rsidR="00D37D86" w:rsidRPr="00E70E7D" w:rsidRDefault="00D37D86" w:rsidP="00FC0C44">
            <w:pPr>
              <w:jc w:val="right"/>
              <w:rPr>
                <w:rFonts w:ascii="Calibri" w:eastAsia="Times New Roman" w:hAnsi="Calibri" w:cs="Calibri"/>
                <w:color w:val="000000"/>
                <w:lang w:eastAsia="en-GB"/>
              </w:rPr>
            </w:pPr>
            <w:r>
              <w:rPr>
                <w:rFonts w:ascii="Calibri" w:eastAsia="Times New Roman" w:hAnsi="Calibri" w:cs="Calibri"/>
                <w:color w:val="000000"/>
                <w:lang w:eastAsia="en-GB"/>
              </w:rPr>
              <w:t>0.0</w:t>
            </w:r>
          </w:p>
        </w:tc>
        <w:tc>
          <w:tcPr>
            <w:tcW w:w="1134" w:type="dxa"/>
            <w:tcBorders>
              <w:bottom w:val="single" w:sz="4" w:space="0" w:color="BFBFBF"/>
            </w:tcBorders>
            <w:shd w:val="clear" w:color="auto" w:fill="FFFFFF"/>
          </w:tcPr>
          <w:p w14:paraId="2B5CBC2D" w14:textId="77777777" w:rsidR="00D37D86" w:rsidRPr="00E70E7D" w:rsidRDefault="00D37D86" w:rsidP="00FC0C44">
            <w:pPr>
              <w:jc w:val="right"/>
              <w:rPr>
                <w:rFonts w:ascii="Calibri" w:eastAsia="Times New Roman" w:hAnsi="Calibri" w:cs="Calibri"/>
                <w:color w:val="000000"/>
                <w:lang w:eastAsia="en-GB"/>
              </w:rPr>
            </w:pPr>
            <w:r>
              <w:rPr>
                <w:rFonts w:ascii="Calibri" w:eastAsia="Times New Roman" w:hAnsi="Calibri" w:cs="Calibri"/>
                <w:color w:val="000000"/>
                <w:lang w:eastAsia="en-GB"/>
              </w:rPr>
              <w:t>0.0</w:t>
            </w:r>
          </w:p>
        </w:tc>
        <w:tc>
          <w:tcPr>
            <w:tcW w:w="1134" w:type="dxa"/>
            <w:tcBorders>
              <w:bottom w:val="single" w:sz="4" w:space="0" w:color="BFBFBF"/>
            </w:tcBorders>
            <w:shd w:val="clear" w:color="auto" w:fill="FFFFFF"/>
          </w:tcPr>
          <w:p w14:paraId="1FABCE4F" w14:textId="77777777" w:rsidR="00D37D86" w:rsidRPr="00E70E7D" w:rsidRDefault="00D37D86" w:rsidP="00FC0C44">
            <w:pPr>
              <w:jc w:val="right"/>
              <w:rPr>
                <w:rFonts w:ascii="Calibri" w:eastAsia="Times New Roman" w:hAnsi="Calibri" w:cs="Calibri"/>
                <w:color w:val="000000"/>
                <w:lang w:eastAsia="en-GB"/>
              </w:rPr>
            </w:pPr>
            <w:r>
              <w:rPr>
                <w:rFonts w:ascii="Calibri" w:eastAsia="Times New Roman" w:hAnsi="Calibri" w:cs="Calibri"/>
                <w:color w:val="000000"/>
                <w:lang w:eastAsia="en-GB"/>
              </w:rPr>
              <w:t>0.0</w:t>
            </w:r>
          </w:p>
        </w:tc>
      </w:tr>
      <w:tr w:rsidR="00D37D86" w:rsidRPr="00E352B3" w14:paraId="62C64B93" w14:textId="77777777" w:rsidTr="00FC0C44">
        <w:trPr>
          <w:trHeight w:val="317"/>
        </w:trPr>
        <w:tc>
          <w:tcPr>
            <w:tcW w:w="3119" w:type="dxa"/>
            <w:shd w:val="clear" w:color="auto" w:fill="00483A"/>
          </w:tcPr>
          <w:p w14:paraId="02C15E7E" w14:textId="77777777" w:rsidR="00D37D86" w:rsidRPr="00E70E7D" w:rsidRDefault="00D37D86" w:rsidP="00FC0C44">
            <w:pPr>
              <w:jc w:val="both"/>
              <w:rPr>
                <w:rFonts w:eastAsia="Times New Roman"/>
                <w:b/>
              </w:rPr>
            </w:pPr>
            <w:r w:rsidRPr="00E70E7D">
              <w:rPr>
                <w:rFonts w:eastAsia="Times New Roman"/>
                <w:b/>
              </w:rPr>
              <w:t>Forecast Year End Position</w:t>
            </w:r>
          </w:p>
        </w:tc>
        <w:tc>
          <w:tcPr>
            <w:tcW w:w="1134" w:type="dxa"/>
            <w:shd w:val="clear" w:color="auto" w:fill="00483A"/>
          </w:tcPr>
          <w:p w14:paraId="4F52B554" w14:textId="77777777" w:rsidR="00D37D86" w:rsidRPr="00E70E7D" w:rsidRDefault="00D37D86" w:rsidP="00FC0C44">
            <w:pPr>
              <w:jc w:val="right"/>
              <w:rPr>
                <w:rFonts w:eastAsia="Times New Roman"/>
                <w:b/>
              </w:rPr>
            </w:pPr>
            <w:r w:rsidRPr="00E70E7D">
              <w:rPr>
                <w:rFonts w:eastAsia="Times New Roman"/>
                <w:b/>
              </w:rPr>
              <w:t>0.0</w:t>
            </w:r>
          </w:p>
        </w:tc>
        <w:tc>
          <w:tcPr>
            <w:tcW w:w="1134" w:type="dxa"/>
            <w:shd w:val="clear" w:color="auto" w:fill="00483A"/>
          </w:tcPr>
          <w:p w14:paraId="33034224" w14:textId="77777777" w:rsidR="00D37D86" w:rsidRPr="00E70E7D" w:rsidRDefault="00D37D86" w:rsidP="00FC0C44">
            <w:pPr>
              <w:jc w:val="right"/>
              <w:rPr>
                <w:rFonts w:eastAsia="Times New Roman"/>
                <w:b/>
              </w:rPr>
            </w:pPr>
            <w:r w:rsidRPr="00E70E7D">
              <w:rPr>
                <w:rFonts w:eastAsia="Times New Roman"/>
                <w:b/>
              </w:rPr>
              <w:t>8.</w:t>
            </w:r>
            <w:r>
              <w:rPr>
                <w:rFonts w:eastAsia="Times New Roman"/>
                <w:b/>
              </w:rPr>
              <w:t>2</w:t>
            </w:r>
          </w:p>
        </w:tc>
        <w:tc>
          <w:tcPr>
            <w:tcW w:w="1134" w:type="dxa"/>
            <w:shd w:val="clear" w:color="auto" w:fill="00483A"/>
          </w:tcPr>
          <w:p w14:paraId="1F0D3BC4" w14:textId="77777777" w:rsidR="00D37D86" w:rsidRPr="00E70E7D" w:rsidRDefault="00D37D86" w:rsidP="00FC0C44">
            <w:pPr>
              <w:jc w:val="right"/>
              <w:rPr>
                <w:rFonts w:eastAsia="Times New Roman"/>
                <w:b/>
              </w:rPr>
            </w:pPr>
            <w:r>
              <w:rPr>
                <w:rFonts w:eastAsia="Times New Roman"/>
                <w:b/>
              </w:rPr>
              <w:t>5.9</w:t>
            </w:r>
          </w:p>
        </w:tc>
        <w:tc>
          <w:tcPr>
            <w:tcW w:w="1134" w:type="dxa"/>
            <w:shd w:val="clear" w:color="auto" w:fill="00483A"/>
          </w:tcPr>
          <w:p w14:paraId="59BA9C21" w14:textId="77777777" w:rsidR="00D37D86" w:rsidRPr="00E70E7D" w:rsidRDefault="00D37D86" w:rsidP="00FC0C44">
            <w:pPr>
              <w:jc w:val="right"/>
              <w:rPr>
                <w:rFonts w:eastAsia="Times New Roman"/>
                <w:b/>
              </w:rPr>
            </w:pPr>
          </w:p>
        </w:tc>
        <w:tc>
          <w:tcPr>
            <w:tcW w:w="1134" w:type="dxa"/>
            <w:shd w:val="clear" w:color="auto" w:fill="00483A"/>
          </w:tcPr>
          <w:p w14:paraId="6704743B" w14:textId="77777777" w:rsidR="00D37D86" w:rsidRPr="00E70E7D" w:rsidRDefault="00D37D86" w:rsidP="00FC0C44">
            <w:pPr>
              <w:jc w:val="right"/>
              <w:rPr>
                <w:rFonts w:eastAsia="Times New Roman"/>
                <w:b/>
              </w:rPr>
            </w:pPr>
            <w:r w:rsidRPr="00E70E7D">
              <w:rPr>
                <w:rFonts w:eastAsia="Times New Roman"/>
                <w:b/>
              </w:rPr>
              <w:t>4.4</w:t>
            </w:r>
          </w:p>
        </w:tc>
        <w:tc>
          <w:tcPr>
            <w:tcW w:w="1134" w:type="dxa"/>
            <w:shd w:val="clear" w:color="auto" w:fill="00483A"/>
          </w:tcPr>
          <w:p w14:paraId="30EBD7E5" w14:textId="77777777" w:rsidR="00D37D86" w:rsidRPr="00E70E7D" w:rsidRDefault="00D37D86" w:rsidP="00FC0C44">
            <w:pPr>
              <w:jc w:val="right"/>
              <w:rPr>
                <w:rFonts w:eastAsia="Times New Roman"/>
                <w:b/>
              </w:rPr>
            </w:pPr>
            <w:r w:rsidRPr="00E70E7D">
              <w:rPr>
                <w:rFonts w:eastAsia="Times New Roman"/>
                <w:b/>
              </w:rPr>
              <w:t>+</w:t>
            </w:r>
            <w:r>
              <w:rPr>
                <w:rFonts w:eastAsia="Times New Roman"/>
                <w:b/>
              </w:rPr>
              <w:t>1.5</w:t>
            </w:r>
          </w:p>
        </w:tc>
      </w:tr>
    </w:tbl>
    <w:p w14:paraId="6C4E2901" w14:textId="77777777" w:rsidR="00D37D86" w:rsidRPr="002B164B" w:rsidRDefault="00D37D86" w:rsidP="00D37D86">
      <w:pPr>
        <w:pStyle w:val="ListParagraph"/>
        <w:widowControl/>
        <w:autoSpaceDE/>
        <w:autoSpaceDN/>
        <w:ind w:left="720" w:firstLine="0"/>
        <w:rPr>
          <w:sz w:val="24"/>
          <w:szCs w:val="24"/>
        </w:rPr>
      </w:pPr>
    </w:p>
    <w:p w14:paraId="0D880D11" w14:textId="77777777" w:rsidR="00D37D86" w:rsidRDefault="00D37D86" w:rsidP="00910DB5">
      <w:pPr>
        <w:pStyle w:val="ListParagraph"/>
        <w:widowControl/>
        <w:numPr>
          <w:ilvl w:val="0"/>
          <w:numId w:val="37"/>
        </w:numPr>
        <w:autoSpaceDE/>
        <w:autoSpaceDN/>
        <w:rPr>
          <w:sz w:val="24"/>
          <w:szCs w:val="24"/>
        </w:rPr>
      </w:pPr>
      <w:r w:rsidRPr="00095FCA">
        <w:rPr>
          <w:sz w:val="24"/>
          <w:szCs w:val="24"/>
        </w:rPr>
        <w:t>The forecast deficit against Dedicated Schools Grant funding for High Needs remains at £17.5m in 2022/23.  In line with a change to the CIPFA code of practice on DSG High Needs deficits an unusable reserve was created in 2020/21 to hold negative High Needs DSG balances.  The net forecast deficit of £17.5m would increase the total deficit relating to High Needs held in this reserve to £47.3m</w:t>
      </w:r>
      <w:r>
        <w:rPr>
          <w:sz w:val="24"/>
          <w:szCs w:val="24"/>
        </w:rPr>
        <w:t>.</w:t>
      </w:r>
    </w:p>
    <w:p w14:paraId="376A08D6" w14:textId="77777777" w:rsidR="00D37D86" w:rsidRPr="00095FCA" w:rsidRDefault="00D37D86" w:rsidP="00D37D86">
      <w:pPr>
        <w:widowControl/>
        <w:autoSpaceDE/>
        <w:autoSpaceDN/>
        <w:rPr>
          <w:sz w:val="24"/>
          <w:szCs w:val="24"/>
        </w:rPr>
      </w:pPr>
    </w:p>
    <w:p w14:paraId="79E1D467" w14:textId="77777777" w:rsidR="00D37D86" w:rsidRPr="00475FFA" w:rsidRDefault="00D37D86" w:rsidP="00910DB5">
      <w:pPr>
        <w:pStyle w:val="ListParagraph"/>
        <w:widowControl/>
        <w:numPr>
          <w:ilvl w:val="0"/>
          <w:numId w:val="37"/>
        </w:numPr>
        <w:autoSpaceDE/>
        <w:autoSpaceDN/>
        <w:rPr>
          <w:sz w:val="24"/>
          <w:szCs w:val="24"/>
        </w:rPr>
      </w:pPr>
      <w:r w:rsidRPr="00095FCA">
        <w:rPr>
          <w:sz w:val="24"/>
          <w:szCs w:val="24"/>
        </w:rPr>
        <w:t xml:space="preserve">The inflation and contingency budget for 2022/23 totals £12.3m. This includes £4.4m funding for pay inflation assumed at 2.5% in the budget approved in February 2022.  In July 2022 National Employers offered an increase of £1,925 on all pay points with effect from 1 April 2022.  This would cost an additional £6.3m and require £10.7m of the contingency budget to be moved to directorate budgets to support the on-going cost.    The unions are considering this offer so an update will be provided in the next report. </w:t>
      </w:r>
    </w:p>
    <w:p w14:paraId="679E6B60" w14:textId="77777777" w:rsidR="00D37D86" w:rsidRPr="00095FCA" w:rsidRDefault="00D37D86" w:rsidP="00D37D86">
      <w:pPr>
        <w:widowControl/>
        <w:autoSpaceDE/>
        <w:autoSpaceDN/>
        <w:rPr>
          <w:sz w:val="24"/>
          <w:szCs w:val="24"/>
        </w:rPr>
      </w:pPr>
    </w:p>
    <w:p w14:paraId="438A3ABC" w14:textId="77777777" w:rsidR="00D37D86" w:rsidRDefault="00D37D86" w:rsidP="00910DB5">
      <w:pPr>
        <w:pStyle w:val="ListParagraph"/>
        <w:widowControl/>
        <w:numPr>
          <w:ilvl w:val="0"/>
          <w:numId w:val="37"/>
        </w:numPr>
        <w:autoSpaceDE/>
        <w:autoSpaceDN/>
        <w:rPr>
          <w:sz w:val="24"/>
          <w:szCs w:val="24"/>
        </w:rPr>
      </w:pPr>
      <w:r w:rsidRPr="00095FCA">
        <w:rPr>
          <w:sz w:val="24"/>
          <w:szCs w:val="24"/>
        </w:rPr>
        <w:t xml:space="preserve">The Budget Priorities Reserve includes £7.7m one - off funding to support the council’s priorities that was agreed as part of the 2022/23 budget in February 2022.  £0.250m of the available funding has been agreed to be used for the implementation of the "Vision Zero" concept. £0.250m will be used to support partners in the delivery of a food strategy action plan. This will seek to address </w:t>
      </w:r>
      <w:r w:rsidRPr="00095FCA">
        <w:rPr>
          <w:sz w:val="24"/>
          <w:szCs w:val="24"/>
        </w:rPr>
        <w:lastRenderedPageBreak/>
        <w:t xml:space="preserve">food poverty, inequality, access to healthy food and supporting/enhancing local food supply. </w:t>
      </w:r>
    </w:p>
    <w:p w14:paraId="28FC179D" w14:textId="77777777" w:rsidR="00D37D86" w:rsidRDefault="00D37D86" w:rsidP="00D37D86">
      <w:pPr>
        <w:pStyle w:val="ListParagraph"/>
        <w:widowControl/>
        <w:autoSpaceDE/>
        <w:autoSpaceDN/>
        <w:ind w:left="720" w:firstLine="0"/>
        <w:rPr>
          <w:sz w:val="24"/>
          <w:szCs w:val="24"/>
        </w:rPr>
      </w:pPr>
    </w:p>
    <w:p w14:paraId="6A22A94A" w14:textId="77777777" w:rsidR="00D37D86" w:rsidRPr="001854B5" w:rsidRDefault="00D37D86" w:rsidP="00910DB5">
      <w:pPr>
        <w:pStyle w:val="ListParagraph"/>
        <w:widowControl/>
        <w:numPr>
          <w:ilvl w:val="0"/>
          <w:numId w:val="37"/>
        </w:numPr>
        <w:autoSpaceDE/>
        <w:autoSpaceDN/>
        <w:rPr>
          <w:sz w:val="24"/>
          <w:szCs w:val="24"/>
        </w:rPr>
      </w:pPr>
      <w:r w:rsidRPr="001854B5">
        <w:rPr>
          <w:sz w:val="24"/>
          <w:szCs w:val="24"/>
        </w:rPr>
        <w:t xml:space="preserve">COVID-19 Reserve - </w:t>
      </w:r>
      <w:r w:rsidRPr="001854B5">
        <w:rPr>
          <w:rFonts w:eastAsia="Times New Roman" w:cs="Times New Roman"/>
          <w:iCs/>
          <w:sz w:val="24"/>
          <w:szCs w:val="24"/>
        </w:rPr>
        <w:t xml:space="preserve">A further £0.4m is proposed to be used to extend the funding for </w:t>
      </w:r>
      <w:r w:rsidRPr="001854B5">
        <w:rPr>
          <w:rFonts w:eastAsia="Times New Roman" w:cs="Times New Roman"/>
          <w:bCs/>
          <w:sz w:val="24"/>
          <w:szCs w:val="24"/>
        </w:rPr>
        <w:t>the managed teams in the Family Solutions Plus (FSP) service</w:t>
      </w:r>
      <w:r>
        <w:rPr>
          <w:rFonts w:eastAsia="Times New Roman" w:cs="Times New Roman"/>
          <w:bCs/>
          <w:sz w:val="24"/>
          <w:szCs w:val="24"/>
        </w:rPr>
        <w:t xml:space="preserve"> within Children’s Services.  </w:t>
      </w:r>
      <w:r>
        <w:rPr>
          <w:sz w:val="24"/>
          <w:szCs w:val="24"/>
        </w:rPr>
        <w:t>T</w:t>
      </w:r>
      <w:r w:rsidRPr="001854B5">
        <w:rPr>
          <w:sz w:val="24"/>
          <w:szCs w:val="24"/>
        </w:rPr>
        <w:t>he uncommitted balance of £5.</w:t>
      </w:r>
      <w:r>
        <w:rPr>
          <w:sz w:val="24"/>
          <w:szCs w:val="24"/>
        </w:rPr>
        <w:t>1</w:t>
      </w:r>
      <w:r w:rsidRPr="001854B5">
        <w:rPr>
          <w:sz w:val="24"/>
          <w:szCs w:val="24"/>
        </w:rPr>
        <w:t xml:space="preserve">m is available to support further pressures arising from COVID-19 on a one–off basis. </w:t>
      </w:r>
    </w:p>
    <w:p w14:paraId="4EC5721E" w14:textId="77777777" w:rsidR="00D37D86" w:rsidRPr="00095FCA" w:rsidRDefault="00D37D86" w:rsidP="00D37D86">
      <w:pPr>
        <w:widowControl/>
        <w:autoSpaceDE/>
        <w:autoSpaceDN/>
        <w:rPr>
          <w:sz w:val="24"/>
          <w:szCs w:val="24"/>
        </w:rPr>
      </w:pPr>
    </w:p>
    <w:p w14:paraId="07B7DADE" w14:textId="77777777" w:rsidR="00D37D86" w:rsidRPr="00095FCA" w:rsidRDefault="00D37D86" w:rsidP="00910DB5">
      <w:pPr>
        <w:pStyle w:val="ListParagraph"/>
        <w:widowControl/>
        <w:numPr>
          <w:ilvl w:val="0"/>
          <w:numId w:val="37"/>
        </w:numPr>
        <w:autoSpaceDE/>
        <w:autoSpaceDN/>
        <w:rPr>
          <w:sz w:val="24"/>
          <w:szCs w:val="24"/>
        </w:rPr>
      </w:pPr>
      <w:r w:rsidRPr="00095FCA">
        <w:rPr>
          <w:sz w:val="24"/>
          <w:szCs w:val="24"/>
        </w:rPr>
        <w:t>As noted in the budget agreed by Council in February 2022, Business Rate income for 2022/23 was estimated as information about both the 2022/23 income and 2021/22 deficit position was received from the district councils after the budget was agreed.  The in - year income is £5.9m more than estimated in the budget. This has been added to the Business Rates Reserve pending agreement about the use of this funding.</w:t>
      </w:r>
    </w:p>
    <w:p w14:paraId="335434B1" w14:textId="77777777" w:rsidR="00D37D86" w:rsidRPr="00095FCA" w:rsidRDefault="00D37D86" w:rsidP="00D37D86">
      <w:pPr>
        <w:widowControl/>
        <w:autoSpaceDE/>
        <w:autoSpaceDN/>
        <w:rPr>
          <w:sz w:val="24"/>
          <w:szCs w:val="24"/>
        </w:rPr>
      </w:pPr>
    </w:p>
    <w:p w14:paraId="40762D10" w14:textId="77777777" w:rsidR="00D37D86" w:rsidRPr="00095FCA" w:rsidRDefault="00D37D86" w:rsidP="00910DB5">
      <w:pPr>
        <w:pStyle w:val="ListParagraph"/>
        <w:widowControl/>
        <w:numPr>
          <w:ilvl w:val="0"/>
          <w:numId w:val="37"/>
        </w:numPr>
        <w:autoSpaceDE/>
        <w:autoSpaceDN/>
        <w:rPr>
          <w:sz w:val="24"/>
          <w:szCs w:val="24"/>
        </w:rPr>
      </w:pPr>
      <w:r w:rsidRPr="00095FCA">
        <w:rPr>
          <w:sz w:val="24"/>
          <w:szCs w:val="24"/>
        </w:rPr>
        <w:t>After taking account of the projected overspend of £</w:t>
      </w:r>
      <w:r>
        <w:rPr>
          <w:sz w:val="24"/>
          <w:szCs w:val="24"/>
        </w:rPr>
        <w:t>5.9</w:t>
      </w:r>
      <w:r w:rsidRPr="00095FCA">
        <w:rPr>
          <w:sz w:val="24"/>
          <w:szCs w:val="24"/>
        </w:rPr>
        <w:t xml:space="preserve">m, general balances will </w:t>
      </w:r>
      <w:r>
        <w:rPr>
          <w:sz w:val="24"/>
          <w:szCs w:val="24"/>
        </w:rPr>
        <w:t>be £30.8m</w:t>
      </w:r>
      <w:r w:rsidRPr="00095FCA">
        <w:rPr>
          <w:sz w:val="24"/>
          <w:szCs w:val="24"/>
        </w:rPr>
        <w:t xml:space="preserve">.  This is </w:t>
      </w:r>
      <w:r>
        <w:rPr>
          <w:sz w:val="24"/>
          <w:szCs w:val="24"/>
        </w:rPr>
        <w:t xml:space="preserve">£1.9m above </w:t>
      </w:r>
      <w:r w:rsidRPr="00095FCA">
        <w:rPr>
          <w:sz w:val="24"/>
          <w:szCs w:val="24"/>
        </w:rPr>
        <w:t>the risk assessed level of £28.9m agreed as part of the budget for 2022/23.</w:t>
      </w:r>
    </w:p>
    <w:p w14:paraId="10AB9296" w14:textId="77777777" w:rsidR="00D37D86" w:rsidRPr="00095FCA" w:rsidRDefault="00D37D86" w:rsidP="00D37D86">
      <w:pPr>
        <w:widowControl/>
        <w:autoSpaceDE/>
        <w:autoSpaceDN/>
        <w:rPr>
          <w:sz w:val="24"/>
          <w:szCs w:val="24"/>
        </w:rPr>
      </w:pPr>
    </w:p>
    <w:p w14:paraId="21233AD1" w14:textId="77777777" w:rsidR="00D37D86" w:rsidRDefault="00D37D86" w:rsidP="00910DB5">
      <w:pPr>
        <w:pStyle w:val="ListParagraph"/>
        <w:widowControl/>
        <w:numPr>
          <w:ilvl w:val="0"/>
          <w:numId w:val="37"/>
        </w:numPr>
        <w:autoSpaceDE/>
        <w:autoSpaceDN/>
        <w:rPr>
          <w:sz w:val="24"/>
          <w:szCs w:val="24"/>
        </w:rPr>
      </w:pPr>
      <w:r w:rsidRPr="00095FCA">
        <w:rPr>
          <w:sz w:val="24"/>
          <w:szCs w:val="24"/>
        </w:rPr>
        <w:t>See Annex B for further details and commentary on the Finance position</w:t>
      </w:r>
      <w:r>
        <w:rPr>
          <w:sz w:val="24"/>
          <w:szCs w:val="24"/>
        </w:rPr>
        <w:t>.</w:t>
      </w:r>
    </w:p>
    <w:p w14:paraId="5F9431D9" w14:textId="77777777" w:rsidR="00D37D86" w:rsidRPr="002B164B" w:rsidRDefault="00D37D86" w:rsidP="00D37D86">
      <w:pPr>
        <w:keepNext/>
        <w:widowControl/>
        <w:autoSpaceDE/>
        <w:autoSpaceDN/>
        <w:spacing w:before="240" w:after="60"/>
        <w:outlineLvl w:val="0"/>
        <w:rPr>
          <w:rFonts w:eastAsia="Times New Roman"/>
          <w:b/>
          <w:bCs/>
          <w:kern w:val="32"/>
          <w:sz w:val="28"/>
          <w:szCs w:val="32"/>
        </w:rPr>
      </w:pPr>
      <w:r w:rsidRPr="002B164B">
        <w:rPr>
          <w:rFonts w:eastAsia="Times New Roman"/>
          <w:b/>
          <w:bCs/>
          <w:kern w:val="32"/>
          <w:sz w:val="28"/>
          <w:szCs w:val="32"/>
        </w:rPr>
        <w:t>Financial Implications</w:t>
      </w:r>
    </w:p>
    <w:p w14:paraId="53494E70" w14:textId="77777777" w:rsidR="00D37D86" w:rsidRPr="002B164B" w:rsidRDefault="00D37D86" w:rsidP="00D37D86">
      <w:pPr>
        <w:widowControl/>
        <w:autoSpaceDE/>
        <w:autoSpaceDN/>
        <w:rPr>
          <w:rFonts w:eastAsia="Times New Roman"/>
          <w:sz w:val="24"/>
          <w:szCs w:val="24"/>
        </w:rPr>
      </w:pPr>
    </w:p>
    <w:p w14:paraId="3E52FB26" w14:textId="77777777" w:rsidR="00D37D86" w:rsidRPr="002F250A" w:rsidRDefault="00D37D86" w:rsidP="00910DB5">
      <w:pPr>
        <w:widowControl/>
        <w:numPr>
          <w:ilvl w:val="0"/>
          <w:numId w:val="37"/>
        </w:numPr>
        <w:autoSpaceDE/>
        <w:autoSpaceDN/>
        <w:jc w:val="both"/>
        <w:rPr>
          <w:rFonts w:eastAsia="Times New Roman"/>
          <w:sz w:val="24"/>
          <w:szCs w:val="24"/>
        </w:rPr>
      </w:pPr>
      <w:r>
        <w:rPr>
          <w:rFonts w:eastAsia="Times New Roman"/>
          <w:sz w:val="24"/>
          <w:szCs w:val="24"/>
        </w:rPr>
        <w:t xml:space="preserve">This report includes an update on the forecast financial position and risks for the council along with action being taken to manage the budget within the position agreed by Council in February 2022.  The report notes that on-going impacts will need to be considered through the Budget &amp; Business Planning process for 2023/24.  </w:t>
      </w:r>
    </w:p>
    <w:p w14:paraId="2085A12B" w14:textId="77777777" w:rsidR="007F5D92" w:rsidRPr="00BC678D" w:rsidRDefault="007F5D92" w:rsidP="007F5D92">
      <w:pPr>
        <w:widowControl/>
        <w:autoSpaceDE/>
        <w:autoSpaceDN/>
        <w:jc w:val="both"/>
        <w:rPr>
          <w:rFonts w:eastAsia="Times New Roman"/>
          <w:sz w:val="24"/>
          <w:szCs w:val="24"/>
        </w:rPr>
      </w:pPr>
    </w:p>
    <w:p w14:paraId="719E9135" w14:textId="1328ECDC" w:rsidR="00BC678D" w:rsidRDefault="00BC678D" w:rsidP="00BC678D">
      <w:pPr>
        <w:widowControl/>
        <w:autoSpaceDE/>
        <w:autoSpaceDN/>
        <w:ind w:left="720"/>
        <w:rPr>
          <w:rFonts w:eastAsia="Times New Roman"/>
          <w:sz w:val="24"/>
          <w:szCs w:val="24"/>
        </w:rPr>
      </w:pPr>
      <w:r w:rsidRPr="00BC678D">
        <w:rPr>
          <w:rFonts w:eastAsia="Times New Roman"/>
          <w:sz w:val="24"/>
          <w:szCs w:val="24"/>
        </w:rPr>
        <w:t>Comments checked by:</w:t>
      </w:r>
    </w:p>
    <w:p w14:paraId="2413659A" w14:textId="58F039B6" w:rsidR="00CB5EB8" w:rsidRPr="00BC678D" w:rsidRDefault="00CB5EB8" w:rsidP="00BC678D">
      <w:pPr>
        <w:widowControl/>
        <w:autoSpaceDE/>
        <w:autoSpaceDN/>
        <w:ind w:left="720"/>
        <w:rPr>
          <w:rFonts w:eastAsia="Times New Roman"/>
          <w:sz w:val="24"/>
          <w:szCs w:val="24"/>
        </w:rPr>
      </w:pPr>
      <w:r>
        <w:rPr>
          <w:rFonts w:eastAsia="Times New Roman"/>
          <w:sz w:val="24"/>
          <w:szCs w:val="24"/>
        </w:rPr>
        <w:t>Lorna Baxter, Director of Finance</w:t>
      </w:r>
    </w:p>
    <w:p w14:paraId="1765F415" w14:textId="12E2CF44" w:rsidR="00BC678D" w:rsidRDefault="00BC678D" w:rsidP="00FC303E">
      <w:pPr>
        <w:rPr>
          <w:rFonts w:eastAsia="Calibri"/>
        </w:rPr>
      </w:pPr>
    </w:p>
    <w:p w14:paraId="22361682" w14:textId="77777777" w:rsidR="00CB5EB8" w:rsidRDefault="00CB5EB8" w:rsidP="00FC303E">
      <w:pPr>
        <w:rPr>
          <w:rFonts w:eastAsia="Calibri"/>
        </w:rPr>
      </w:pPr>
    </w:p>
    <w:p w14:paraId="7D1365A1" w14:textId="77777777" w:rsidR="00BC678D" w:rsidRPr="00BD6509" w:rsidRDefault="00BC678D" w:rsidP="00FC303E">
      <w:pPr>
        <w:rPr>
          <w:rFonts w:eastAsia="Calibri"/>
        </w:rPr>
      </w:pPr>
    </w:p>
    <w:p w14:paraId="269AACC9" w14:textId="49D5F35E" w:rsidR="00E11F8B" w:rsidRDefault="004C1FCE" w:rsidP="00E11F8B">
      <w:pPr>
        <w:tabs>
          <w:tab w:val="left" w:pos="1418"/>
          <w:tab w:val="left" w:pos="9639"/>
        </w:tabs>
        <w:ind w:left="400" w:right="225" w:hanging="283"/>
        <w:jc w:val="both"/>
      </w:pPr>
      <w:r w:rsidRPr="00E11F8B">
        <w:rPr>
          <w:rFonts w:eastAsia="Calibri"/>
          <w:noProof/>
          <w:color w:val="000000"/>
          <w:sz w:val="28"/>
          <w:szCs w:val="28"/>
        </w:rPr>
        <mc:AlternateContent>
          <mc:Choice Requires="wpg">
            <w:drawing>
              <wp:anchor distT="0" distB="0" distL="0" distR="0" simplePos="0" relativeHeight="251655168" behindDoc="1" locked="0" layoutInCell="1" allowOverlap="1" wp14:anchorId="422AB0BB" wp14:editId="698F78DF">
                <wp:simplePos x="0" y="0"/>
                <wp:positionH relativeFrom="margin">
                  <wp:posOffset>152400</wp:posOffset>
                </wp:positionH>
                <wp:positionV relativeFrom="paragraph">
                  <wp:posOffset>114935</wp:posOffset>
                </wp:positionV>
                <wp:extent cx="5724531" cy="713105"/>
                <wp:effectExtent l="0" t="0" r="9525" b="29845"/>
                <wp:wrapNone/>
                <wp:docPr id="403" name="Group 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31" cy="713105"/>
                          <a:chOff x="2098" y="269"/>
                          <a:chExt cx="7814" cy="1757"/>
                        </a:xfrm>
                      </wpg:grpSpPr>
                      <wps:wsp>
                        <wps:cNvPr id="404" name="Line 248"/>
                        <wps:cNvCnPr>
                          <a:cxnSpLocks noChangeShapeType="1"/>
                        </wps:cNvCnPr>
                        <wps:spPr bwMode="auto">
                          <a:xfrm>
                            <a:off x="2102" y="279"/>
                            <a:ext cx="4608" cy="0"/>
                          </a:xfrm>
                          <a:prstGeom prst="line">
                            <a:avLst/>
                          </a:prstGeom>
                          <a:noFill/>
                          <a:ln w="6096">
                            <a:solidFill>
                              <a:srgbClr val="C1C1C1"/>
                            </a:solidFill>
                            <a:prstDash val="solid"/>
                            <a:round/>
                            <a:headEnd/>
                            <a:tailEnd/>
                          </a:ln>
                          <a:extLst>
                            <a:ext uri="{909E8E84-426E-40DD-AFC4-6F175D3DCCD1}">
                              <a14:hiddenFill xmlns:a14="http://schemas.microsoft.com/office/drawing/2010/main">
                                <a:noFill/>
                              </a14:hiddenFill>
                            </a:ext>
                          </a:extLst>
                        </wps:spPr>
                        <wps:bodyPr/>
                      </wps:wsp>
                      <wps:wsp>
                        <wps:cNvPr id="405" name="Line 247"/>
                        <wps:cNvCnPr>
                          <a:cxnSpLocks noChangeShapeType="1"/>
                        </wps:cNvCnPr>
                        <wps:spPr bwMode="auto">
                          <a:xfrm>
                            <a:off x="6720" y="279"/>
                            <a:ext cx="2620" cy="0"/>
                          </a:xfrm>
                          <a:prstGeom prst="line">
                            <a:avLst/>
                          </a:prstGeom>
                          <a:noFill/>
                          <a:ln w="6096">
                            <a:solidFill>
                              <a:srgbClr val="C1C1C1"/>
                            </a:solidFill>
                            <a:prstDash val="solid"/>
                            <a:round/>
                            <a:headEnd/>
                            <a:tailEnd/>
                          </a:ln>
                          <a:extLst>
                            <a:ext uri="{909E8E84-426E-40DD-AFC4-6F175D3DCCD1}">
                              <a14:hiddenFill xmlns:a14="http://schemas.microsoft.com/office/drawing/2010/main">
                                <a:noFill/>
                              </a14:hiddenFill>
                            </a:ext>
                          </a:extLst>
                        </wps:spPr>
                        <wps:bodyPr/>
                      </wps:wsp>
                      <wps:wsp>
                        <wps:cNvPr id="406" name="Line 246"/>
                        <wps:cNvCnPr>
                          <a:cxnSpLocks noChangeShapeType="1"/>
                        </wps:cNvCnPr>
                        <wps:spPr bwMode="auto">
                          <a:xfrm>
                            <a:off x="2098" y="273"/>
                            <a:ext cx="0" cy="1748"/>
                          </a:xfrm>
                          <a:prstGeom prst="line">
                            <a:avLst/>
                          </a:prstGeom>
                          <a:noFill/>
                          <a:ln w="6096">
                            <a:solidFill>
                              <a:srgbClr val="C1C1C1"/>
                            </a:solidFill>
                            <a:prstDash val="solid"/>
                            <a:round/>
                            <a:headEnd/>
                            <a:tailEnd/>
                          </a:ln>
                          <a:extLst>
                            <a:ext uri="{909E8E84-426E-40DD-AFC4-6F175D3DCCD1}">
                              <a14:hiddenFill xmlns:a14="http://schemas.microsoft.com/office/drawing/2010/main">
                                <a:noFill/>
                              </a14:hiddenFill>
                            </a:ext>
                          </a:extLst>
                        </wps:spPr>
                        <wps:bodyPr/>
                      </wps:wsp>
                      <wps:wsp>
                        <wps:cNvPr id="407" name="Line 245"/>
                        <wps:cNvCnPr>
                          <a:cxnSpLocks noChangeShapeType="1"/>
                        </wps:cNvCnPr>
                        <wps:spPr bwMode="auto">
                          <a:xfrm>
                            <a:off x="2102" y="2015"/>
                            <a:ext cx="4608" cy="0"/>
                          </a:xfrm>
                          <a:prstGeom prst="line">
                            <a:avLst/>
                          </a:prstGeom>
                          <a:noFill/>
                          <a:ln w="6096">
                            <a:solidFill>
                              <a:srgbClr val="C1C1C1"/>
                            </a:solidFill>
                            <a:prstDash val="solid"/>
                            <a:round/>
                            <a:headEnd/>
                            <a:tailEnd/>
                          </a:ln>
                          <a:extLst>
                            <a:ext uri="{909E8E84-426E-40DD-AFC4-6F175D3DCCD1}">
                              <a14:hiddenFill xmlns:a14="http://schemas.microsoft.com/office/drawing/2010/main">
                                <a:noFill/>
                              </a14:hiddenFill>
                            </a:ext>
                          </a:extLst>
                        </wps:spPr>
                        <wps:bodyPr/>
                      </wps:wsp>
                      <wps:wsp>
                        <wps:cNvPr id="408" name="Line 244"/>
                        <wps:cNvCnPr>
                          <a:cxnSpLocks noChangeShapeType="1"/>
                        </wps:cNvCnPr>
                        <wps:spPr bwMode="auto">
                          <a:xfrm>
                            <a:off x="6715" y="273"/>
                            <a:ext cx="0" cy="1748"/>
                          </a:xfrm>
                          <a:prstGeom prst="line">
                            <a:avLst/>
                          </a:prstGeom>
                          <a:noFill/>
                          <a:ln w="6109">
                            <a:solidFill>
                              <a:srgbClr val="C1C1C1"/>
                            </a:solidFill>
                            <a:prstDash val="solid"/>
                            <a:round/>
                            <a:headEnd/>
                            <a:tailEnd/>
                          </a:ln>
                          <a:extLst>
                            <a:ext uri="{909E8E84-426E-40DD-AFC4-6F175D3DCCD1}">
                              <a14:hiddenFill xmlns:a14="http://schemas.microsoft.com/office/drawing/2010/main">
                                <a:noFill/>
                              </a14:hiddenFill>
                            </a:ext>
                          </a:extLst>
                        </wps:spPr>
                        <wps:bodyPr/>
                      </wps:wsp>
                      <wps:wsp>
                        <wps:cNvPr id="409" name="Line 243"/>
                        <wps:cNvCnPr>
                          <a:cxnSpLocks noChangeShapeType="1"/>
                        </wps:cNvCnPr>
                        <wps:spPr bwMode="auto">
                          <a:xfrm>
                            <a:off x="6720" y="2015"/>
                            <a:ext cx="2620" cy="0"/>
                          </a:xfrm>
                          <a:prstGeom prst="line">
                            <a:avLst/>
                          </a:prstGeom>
                          <a:noFill/>
                          <a:ln w="6096">
                            <a:solidFill>
                              <a:srgbClr val="C1C1C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0" name="Picture 2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098" y="269"/>
                            <a:ext cx="7251" cy="1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1" name="Text Box 241"/>
                        <wps:cNvSpPr txBox="1">
                          <a:spLocks noChangeArrowheads="1"/>
                        </wps:cNvSpPr>
                        <wps:spPr bwMode="auto">
                          <a:xfrm>
                            <a:off x="2287" y="362"/>
                            <a:ext cx="4928" cy="1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6BA71" w14:textId="77777777" w:rsidR="00F134C1" w:rsidRPr="00BD62A1" w:rsidRDefault="00F134C1" w:rsidP="00E11F8B">
                              <w:pPr>
                                <w:rPr>
                                  <w:b/>
                                  <w:sz w:val="24"/>
                                  <w:szCs w:val="24"/>
                                </w:rPr>
                              </w:pPr>
                              <w:r w:rsidRPr="00BD62A1">
                                <w:rPr>
                                  <w:b/>
                                  <w:sz w:val="24"/>
                                  <w:szCs w:val="24"/>
                                </w:rPr>
                                <w:t>CLAIRE TAYLOR</w:t>
                              </w:r>
                            </w:p>
                            <w:p w14:paraId="369B4323" w14:textId="77777777" w:rsidR="00F134C1" w:rsidRPr="00BD62A1" w:rsidRDefault="00F134C1" w:rsidP="00E11F8B">
                              <w:pPr>
                                <w:spacing w:before="123"/>
                                <w:ind w:right="1193"/>
                                <w:rPr>
                                  <w:sz w:val="24"/>
                                  <w:szCs w:val="24"/>
                                </w:rPr>
                              </w:pPr>
                              <w:r w:rsidRPr="00BD62A1">
                                <w:rPr>
                                  <w:sz w:val="24"/>
                                  <w:szCs w:val="24"/>
                                </w:rPr>
                                <w:t>Corporate Director for Customers, Organisational Development and Resources</w:t>
                              </w:r>
                            </w:p>
                          </w:txbxContent>
                        </wps:txbx>
                        <wps:bodyPr rot="0" vert="horz" wrap="square" lIns="0" tIns="0" rIns="0" bIns="0" anchor="t" anchorCtr="0" upright="1">
                          <a:noAutofit/>
                        </wps:bodyPr>
                      </wps:wsp>
                      <wps:wsp>
                        <wps:cNvPr id="412" name="Text Box 240"/>
                        <wps:cNvSpPr txBox="1">
                          <a:spLocks noChangeArrowheads="1"/>
                        </wps:cNvSpPr>
                        <wps:spPr bwMode="auto">
                          <a:xfrm>
                            <a:off x="6790" y="309"/>
                            <a:ext cx="3122" cy="1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41E8D" w14:textId="77777777" w:rsidR="00F134C1" w:rsidRPr="00BD62A1" w:rsidRDefault="00F134C1" w:rsidP="00E11F8B">
                              <w:pPr>
                                <w:ind w:right="506"/>
                                <w:rPr>
                                  <w:b/>
                                  <w:sz w:val="24"/>
                                  <w:szCs w:val="24"/>
                                </w:rPr>
                              </w:pPr>
                              <w:r w:rsidRPr="00BD62A1">
                                <w:rPr>
                                  <w:b/>
                                  <w:sz w:val="24"/>
                                  <w:szCs w:val="24"/>
                                </w:rPr>
                                <w:t>LORNA BAXTER</w:t>
                              </w:r>
                            </w:p>
                            <w:p w14:paraId="133DAB03" w14:textId="77777777" w:rsidR="00F134C1" w:rsidRDefault="00F134C1" w:rsidP="00E11F8B">
                              <w:pPr>
                                <w:spacing w:before="1"/>
                                <w:ind w:right="387"/>
                                <w:rPr>
                                  <w:sz w:val="24"/>
                                  <w:szCs w:val="24"/>
                                </w:rPr>
                              </w:pPr>
                            </w:p>
                            <w:p w14:paraId="30108EDE" w14:textId="0C07686C" w:rsidR="00F134C1" w:rsidRPr="00BD62A1" w:rsidRDefault="00F134C1" w:rsidP="00E11F8B">
                              <w:pPr>
                                <w:spacing w:before="1"/>
                                <w:ind w:right="387"/>
                                <w:rPr>
                                  <w:sz w:val="24"/>
                                  <w:szCs w:val="24"/>
                                </w:rPr>
                              </w:pPr>
                              <w:r w:rsidRPr="00BD62A1">
                                <w:rPr>
                                  <w:sz w:val="24"/>
                                  <w:szCs w:val="24"/>
                                </w:rPr>
                                <w:t>Director of Finance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AB0BB" id="Group 239" o:spid="_x0000_s1032" alt="&quot;&quot;" style="position:absolute;left:0;text-align:left;margin-left:12pt;margin-top:9.05pt;width:450.75pt;height:56.15pt;z-index:-251661312;mso-wrap-distance-left:0;mso-wrap-distance-right:0;mso-position-horizontal-relative:margin;mso-position-vertical-relative:text" coordorigin="2098,269" coordsize="7814,1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">
                <v:line id="Line 248" o:spid="_x0000_s1033" style="position:absolute;visibility:visible;mso-wrap-style:square" from="2102,279" to="67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" strokecolor="#c1c1c1" strokeweight=".48pt"/>
                <v:line id="Line 247" o:spid="_x0000_s1034" style="position:absolute;visibility:visible;mso-wrap-style:square" from="6720,279" to="934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" strokecolor="#c1c1c1" strokeweight=".48pt"/>
                <v:line id="Line 246" o:spid="_x0000_s1035" style="position:absolute;visibility:visible;mso-wrap-style:square" from="2098,273" to="2098,2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" strokecolor="#c1c1c1" strokeweight=".48pt"/>
                <v:line id="Line 245" o:spid="_x0000_s1036" style="position:absolute;visibility:visible;mso-wrap-style:square" from="2102,2015" to="6710,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" strokecolor="#c1c1c1" strokeweight=".48pt"/>
                <v:line id="Line 244" o:spid="_x0000_s1037" style="position:absolute;visibility:visible;mso-wrap-style:square" from="6715,273" to="6715,2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" strokecolor="#c1c1c1" strokeweight=".16969mm"/>
                <v:line id="Line 243" o:spid="_x0000_s1038" style="position:absolute;visibility:visible;mso-wrap-style:square" from="6720,2015" to="9340,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" strokecolor="#c1c1c1"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2" o:spid="_x0000_s1039" type="#_x0000_t75" style="position:absolute;left:2098;top:269;width:7251;height:1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">
                  <v:imagedata r:id="rId15" o:title=""/>
                </v:shape>
                <v:shape id="Text Box 241" o:spid="_x0000_s1040" type="#_x0000_t202" style="position:absolute;left:2287;top:362;width:4928;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EtxQAAANwAAAAPAAAAZHJzL2Rvd25yZXYueG1sRI9Ba8JA&#10;FITvhf6H5Qm91U2k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DmJcEtxQAAANwAAAAP&#10;AAAAAAAAAAAAAAAAAAcCAABkcnMvZG93bnJldi54bWxQSwUGAAAAAAMAAwC3AAAA+QIAAAAA&#10;" filled="f" stroked="f">
                  <v:textbox inset="0,0,0,0">
                    <w:txbxContent>
                      <w:p w14:paraId="0836BA71" w14:textId="77777777" w:rsidR="00F134C1" w:rsidRPr="00BD62A1" w:rsidRDefault="00F134C1" w:rsidP="00E11F8B">
                        <w:pPr>
                          <w:rPr>
                            <w:b/>
                            <w:sz w:val="24"/>
                            <w:szCs w:val="24"/>
                          </w:rPr>
                        </w:pPr>
                        <w:r w:rsidRPr="00BD62A1">
                          <w:rPr>
                            <w:b/>
                            <w:sz w:val="24"/>
                            <w:szCs w:val="24"/>
                          </w:rPr>
                          <w:t>CLAIRE TAYLOR</w:t>
                        </w:r>
                      </w:p>
                      <w:p w14:paraId="369B4323" w14:textId="77777777" w:rsidR="00F134C1" w:rsidRPr="00BD62A1" w:rsidRDefault="00F134C1" w:rsidP="00E11F8B">
                        <w:pPr>
                          <w:spacing w:before="123"/>
                          <w:ind w:right="1193"/>
                          <w:rPr>
                            <w:sz w:val="24"/>
                            <w:szCs w:val="24"/>
                          </w:rPr>
                        </w:pPr>
                        <w:r w:rsidRPr="00BD62A1">
                          <w:rPr>
                            <w:sz w:val="24"/>
                            <w:szCs w:val="24"/>
                          </w:rPr>
                          <w:t>Corporate Director for Customers, Organisational Development and Resources</w:t>
                        </w:r>
                      </w:p>
                    </w:txbxContent>
                  </v:textbox>
                </v:shape>
                <v:shape id="Text Box 240" o:spid="_x0000_s1041" type="#_x0000_t202" style="position:absolute;left:6790;top:309;width:3122;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19axAAAANwAAAAPAAAAZHJzL2Rvd25yZXYueG1sRI9Ba8JA&#10;FITvgv9heYI33Sgi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Bb3X1rEAAAA3AAAAA8A&#10;AAAAAAAAAAAAAAAABwIAAGRycy9kb3ducmV2LnhtbFBLBQYAAAAAAwADALcAAAD4AgAAAAA=&#10;" filled="f" stroked="f">
                  <v:textbox inset="0,0,0,0">
                    <w:txbxContent>
                      <w:p w14:paraId="1ED41E8D" w14:textId="77777777" w:rsidR="00F134C1" w:rsidRPr="00BD62A1" w:rsidRDefault="00F134C1" w:rsidP="00E11F8B">
                        <w:pPr>
                          <w:ind w:right="506"/>
                          <w:rPr>
                            <w:b/>
                            <w:sz w:val="24"/>
                            <w:szCs w:val="24"/>
                          </w:rPr>
                        </w:pPr>
                        <w:r w:rsidRPr="00BD62A1">
                          <w:rPr>
                            <w:b/>
                            <w:sz w:val="24"/>
                            <w:szCs w:val="24"/>
                          </w:rPr>
                          <w:t>LORNA BAXTER</w:t>
                        </w:r>
                      </w:p>
                      <w:p w14:paraId="133DAB03" w14:textId="77777777" w:rsidR="00F134C1" w:rsidRDefault="00F134C1" w:rsidP="00E11F8B">
                        <w:pPr>
                          <w:spacing w:before="1"/>
                          <w:ind w:right="387"/>
                          <w:rPr>
                            <w:sz w:val="24"/>
                            <w:szCs w:val="24"/>
                          </w:rPr>
                        </w:pPr>
                      </w:p>
                      <w:p w14:paraId="30108EDE" w14:textId="0C07686C" w:rsidR="00F134C1" w:rsidRPr="00BD62A1" w:rsidRDefault="00F134C1" w:rsidP="00E11F8B">
                        <w:pPr>
                          <w:spacing w:before="1"/>
                          <w:ind w:right="387"/>
                          <w:rPr>
                            <w:sz w:val="24"/>
                            <w:szCs w:val="24"/>
                          </w:rPr>
                        </w:pPr>
                        <w:r w:rsidRPr="00BD62A1">
                          <w:rPr>
                            <w:sz w:val="24"/>
                            <w:szCs w:val="24"/>
                          </w:rPr>
                          <w:t>Director of Finance</w:t>
                        </w:r>
                      </w:p>
                    </w:txbxContent>
                  </v:textbox>
                </v:shape>
                <w10:wrap anchorx="margin"/>
              </v:group>
            </w:pict>
          </mc:Fallback>
        </mc:AlternateContent>
      </w:r>
      <w:r w:rsidR="00E11F8B">
        <w:t xml:space="preserve">           </w:t>
      </w:r>
    </w:p>
    <w:p w14:paraId="2B8EB58F" w14:textId="77777777" w:rsidR="00E11F8B" w:rsidRDefault="00E11F8B" w:rsidP="00E11F8B">
      <w:pPr>
        <w:tabs>
          <w:tab w:val="left" w:pos="1418"/>
          <w:tab w:val="left" w:pos="9639"/>
        </w:tabs>
        <w:ind w:left="400" w:right="225" w:hanging="283"/>
        <w:jc w:val="both"/>
      </w:pPr>
    </w:p>
    <w:p w14:paraId="2221953F" w14:textId="351E1645" w:rsidR="00E11F8B" w:rsidRDefault="00E11F8B" w:rsidP="00E11F8B">
      <w:pPr>
        <w:tabs>
          <w:tab w:val="left" w:pos="1418"/>
          <w:tab w:val="left" w:pos="9639"/>
        </w:tabs>
        <w:ind w:left="400" w:right="225" w:hanging="283"/>
        <w:jc w:val="both"/>
      </w:pPr>
    </w:p>
    <w:p w14:paraId="7DD9F295" w14:textId="77777777" w:rsidR="00E11F8B" w:rsidRDefault="00E11F8B" w:rsidP="00E11F8B">
      <w:pPr>
        <w:tabs>
          <w:tab w:val="left" w:pos="1418"/>
          <w:tab w:val="left" w:pos="9639"/>
        </w:tabs>
        <w:ind w:left="400" w:right="225" w:hanging="283"/>
        <w:jc w:val="both"/>
      </w:pPr>
    </w:p>
    <w:p w14:paraId="7BBFCE28" w14:textId="181043F2" w:rsidR="00E11F8B" w:rsidRDefault="00E11F8B" w:rsidP="00E11F8B">
      <w:pPr>
        <w:tabs>
          <w:tab w:val="left" w:pos="1418"/>
          <w:tab w:val="left" w:pos="9639"/>
        </w:tabs>
        <w:ind w:left="400" w:right="225" w:hanging="283"/>
        <w:jc w:val="both"/>
      </w:pPr>
    </w:p>
    <w:p w14:paraId="475A744F" w14:textId="77777777" w:rsidR="00E11F8B" w:rsidRPr="00E11F8B" w:rsidRDefault="00E11F8B" w:rsidP="00E11F8B">
      <w:pPr>
        <w:tabs>
          <w:tab w:val="left" w:pos="1418"/>
          <w:tab w:val="left" w:pos="9639"/>
        </w:tabs>
        <w:ind w:left="400" w:right="225" w:hanging="283"/>
        <w:jc w:val="both"/>
        <w:rPr>
          <w:sz w:val="4"/>
          <w:szCs w:val="4"/>
        </w:rPr>
      </w:pPr>
      <w:r>
        <w:t xml:space="preserve">           </w:t>
      </w:r>
    </w:p>
    <w:p w14:paraId="71B27640" w14:textId="77777777" w:rsidR="00781DD3" w:rsidRDefault="00E11F8B" w:rsidP="0076448A">
      <w:pPr>
        <w:tabs>
          <w:tab w:val="left" w:pos="1418"/>
          <w:tab w:val="left" w:pos="9639"/>
        </w:tabs>
        <w:ind w:left="400" w:right="225" w:hanging="283"/>
        <w:jc w:val="both"/>
      </w:pPr>
      <w:r>
        <w:t xml:space="preserve">          </w:t>
      </w:r>
    </w:p>
    <w:p w14:paraId="4951DD7C" w14:textId="734E477F" w:rsidR="00E11F8B" w:rsidRPr="00BD62A1" w:rsidRDefault="00E05B24" w:rsidP="0076448A">
      <w:pPr>
        <w:tabs>
          <w:tab w:val="left" w:pos="1418"/>
          <w:tab w:val="left" w:pos="9639"/>
        </w:tabs>
        <w:ind w:left="400" w:right="225" w:hanging="283"/>
        <w:jc w:val="both"/>
        <w:rPr>
          <w:sz w:val="24"/>
          <w:szCs w:val="24"/>
        </w:rPr>
      </w:pPr>
      <w:r>
        <w:rPr>
          <w:sz w:val="24"/>
          <w:szCs w:val="24"/>
        </w:rPr>
        <w:tab/>
      </w:r>
      <w:r w:rsidR="00E11F8B" w:rsidRPr="00BD62A1">
        <w:rPr>
          <w:sz w:val="24"/>
          <w:szCs w:val="24"/>
        </w:rPr>
        <w:t xml:space="preserve"> </w:t>
      </w:r>
      <w:r>
        <w:rPr>
          <w:sz w:val="24"/>
          <w:szCs w:val="24"/>
        </w:rPr>
        <w:t xml:space="preserve"> </w:t>
      </w:r>
      <w:r w:rsidR="00E11F8B" w:rsidRPr="00BD62A1">
        <w:rPr>
          <w:sz w:val="24"/>
          <w:szCs w:val="24"/>
        </w:rPr>
        <w:t>Contact Officers:</w:t>
      </w:r>
    </w:p>
    <w:p w14:paraId="64AABFE7" w14:textId="51AE6C44" w:rsidR="00E11F8B" w:rsidRPr="00BD62A1" w:rsidRDefault="00E11F8B" w:rsidP="00E05B24">
      <w:pPr>
        <w:spacing w:before="92" w:line="319" w:lineRule="auto"/>
        <w:ind w:right="247" w:firstLine="570"/>
        <w:rPr>
          <w:sz w:val="24"/>
          <w:szCs w:val="24"/>
        </w:rPr>
      </w:pPr>
      <w:r w:rsidRPr="00BD62A1">
        <w:rPr>
          <w:sz w:val="24"/>
          <w:szCs w:val="24"/>
        </w:rPr>
        <w:t xml:space="preserve">Louise Tustian, Head of Insight and Corporate Programmes </w:t>
      </w:r>
    </w:p>
    <w:p w14:paraId="12ABF204" w14:textId="6892CDAC" w:rsidR="00DD6EB5" w:rsidRPr="00BD62A1" w:rsidRDefault="00E11F8B" w:rsidP="00E05B24">
      <w:pPr>
        <w:spacing w:before="92" w:line="319" w:lineRule="auto"/>
        <w:ind w:right="247" w:firstLine="570"/>
        <w:rPr>
          <w:sz w:val="24"/>
          <w:szCs w:val="24"/>
        </w:rPr>
      </w:pPr>
      <w:r w:rsidRPr="00BD62A1">
        <w:rPr>
          <w:sz w:val="24"/>
          <w:szCs w:val="24"/>
        </w:rPr>
        <w:t xml:space="preserve">Kathy Wilcox, Head of Financial Strategy </w:t>
      </w:r>
    </w:p>
    <w:sectPr w:rsidR="00DD6EB5" w:rsidRPr="00BD62A1" w:rsidSect="00045E35">
      <w:head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A9BF" w14:textId="77777777" w:rsidR="00F134C1" w:rsidRDefault="00F134C1" w:rsidP="00BB1474">
      <w:r>
        <w:separator/>
      </w:r>
    </w:p>
  </w:endnote>
  <w:endnote w:type="continuationSeparator" w:id="0">
    <w:p w14:paraId="32591D4E" w14:textId="77777777" w:rsidR="00F134C1" w:rsidRDefault="00F134C1" w:rsidP="00BB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F737C" w14:textId="77777777" w:rsidR="00F134C1" w:rsidRDefault="00F134C1" w:rsidP="00BB1474">
      <w:r>
        <w:separator/>
      </w:r>
    </w:p>
  </w:footnote>
  <w:footnote w:type="continuationSeparator" w:id="0">
    <w:p w14:paraId="3D8B038E" w14:textId="77777777" w:rsidR="00F134C1" w:rsidRDefault="00F134C1" w:rsidP="00BB1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0782" w14:textId="2E7BE3AA" w:rsidR="00F134C1" w:rsidRDefault="00F13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B89"/>
    <w:multiLevelType w:val="hybridMultilevel"/>
    <w:tmpl w:val="F8BABFAA"/>
    <w:lvl w:ilvl="0" w:tplc="08090001">
      <w:start w:val="1"/>
      <w:numFmt w:val="bullet"/>
      <w:lvlText w:val=""/>
      <w:lvlJc w:val="left"/>
      <w:pPr>
        <w:ind w:left="-284" w:hanging="360"/>
      </w:pPr>
      <w:rPr>
        <w:rFonts w:ascii="Symbol" w:hAnsi="Symbol" w:hint="default"/>
      </w:rPr>
    </w:lvl>
    <w:lvl w:ilvl="1" w:tplc="08090003" w:tentative="1">
      <w:start w:val="1"/>
      <w:numFmt w:val="bullet"/>
      <w:lvlText w:val="o"/>
      <w:lvlJc w:val="left"/>
      <w:pPr>
        <w:ind w:left="436" w:hanging="360"/>
      </w:pPr>
      <w:rPr>
        <w:rFonts w:ascii="Courier New" w:hAnsi="Courier New" w:cs="Courier New" w:hint="default"/>
      </w:rPr>
    </w:lvl>
    <w:lvl w:ilvl="2" w:tplc="08090005" w:tentative="1">
      <w:start w:val="1"/>
      <w:numFmt w:val="bullet"/>
      <w:lvlText w:val=""/>
      <w:lvlJc w:val="left"/>
      <w:pPr>
        <w:ind w:left="1156" w:hanging="360"/>
      </w:pPr>
      <w:rPr>
        <w:rFonts w:ascii="Wingdings" w:hAnsi="Wingdings" w:hint="default"/>
      </w:rPr>
    </w:lvl>
    <w:lvl w:ilvl="3" w:tplc="08090001" w:tentative="1">
      <w:start w:val="1"/>
      <w:numFmt w:val="bullet"/>
      <w:lvlText w:val=""/>
      <w:lvlJc w:val="left"/>
      <w:pPr>
        <w:ind w:left="1876" w:hanging="360"/>
      </w:pPr>
      <w:rPr>
        <w:rFonts w:ascii="Symbol" w:hAnsi="Symbol" w:hint="default"/>
      </w:rPr>
    </w:lvl>
    <w:lvl w:ilvl="4" w:tplc="08090003" w:tentative="1">
      <w:start w:val="1"/>
      <w:numFmt w:val="bullet"/>
      <w:lvlText w:val="o"/>
      <w:lvlJc w:val="left"/>
      <w:pPr>
        <w:ind w:left="2596" w:hanging="360"/>
      </w:pPr>
      <w:rPr>
        <w:rFonts w:ascii="Courier New" w:hAnsi="Courier New" w:cs="Courier New" w:hint="default"/>
      </w:rPr>
    </w:lvl>
    <w:lvl w:ilvl="5" w:tplc="08090005" w:tentative="1">
      <w:start w:val="1"/>
      <w:numFmt w:val="bullet"/>
      <w:lvlText w:val=""/>
      <w:lvlJc w:val="left"/>
      <w:pPr>
        <w:ind w:left="3316" w:hanging="360"/>
      </w:pPr>
      <w:rPr>
        <w:rFonts w:ascii="Wingdings" w:hAnsi="Wingdings" w:hint="default"/>
      </w:rPr>
    </w:lvl>
    <w:lvl w:ilvl="6" w:tplc="08090001" w:tentative="1">
      <w:start w:val="1"/>
      <w:numFmt w:val="bullet"/>
      <w:lvlText w:val=""/>
      <w:lvlJc w:val="left"/>
      <w:pPr>
        <w:ind w:left="4036" w:hanging="360"/>
      </w:pPr>
      <w:rPr>
        <w:rFonts w:ascii="Symbol" w:hAnsi="Symbol" w:hint="default"/>
      </w:rPr>
    </w:lvl>
    <w:lvl w:ilvl="7" w:tplc="08090003" w:tentative="1">
      <w:start w:val="1"/>
      <w:numFmt w:val="bullet"/>
      <w:lvlText w:val="o"/>
      <w:lvlJc w:val="left"/>
      <w:pPr>
        <w:ind w:left="4756" w:hanging="360"/>
      </w:pPr>
      <w:rPr>
        <w:rFonts w:ascii="Courier New" w:hAnsi="Courier New" w:cs="Courier New" w:hint="default"/>
      </w:rPr>
    </w:lvl>
    <w:lvl w:ilvl="8" w:tplc="08090005" w:tentative="1">
      <w:start w:val="1"/>
      <w:numFmt w:val="bullet"/>
      <w:lvlText w:val=""/>
      <w:lvlJc w:val="left"/>
      <w:pPr>
        <w:ind w:left="5476" w:hanging="360"/>
      </w:pPr>
      <w:rPr>
        <w:rFonts w:ascii="Wingdings" w:hAnsi="Wingdings" w:hint="default"/>
      </w:rPr>
    </w:lvl>
  </w:abstractNum>
  <w:abstractNum w:abstractNumId="1" w15:restartNumberingAfterBreak="0">
    <w:nsid w:val="0423624B"/>
    <w:multiLevelType w:val="hybridMultilevel"/>
    <w:tmpl w:val="5F28DF3E"/>
    <w:lvl w:ilvl="0" w:tplc="41E66078">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825C1"/>
    <w:multiLevelType w:val="hybridMultilevel"/>
    <w:tmpl w:val="195E9038"/>
    <w:lvl w:ilvl="0" w:tplc="08090001">
      <w:start w:val="1"/>
      <w:numFmt w:val="bullet"/>
      <w:lvlText w:val=""/>
      <w:lvlJc w:val="left"/>
      <w:pPr>
        <w:ind w:left="1417" w:hanging="360"/>
      </w:pPr>
      <w:rPr>
        <w:rFonts w:ascii="Symbol" w:hAnsi="Symbol" w:hint="default"/>
      </w:rPr>
    </w:lvl>
    <w:lvl w:ilvl="1" w:tplc="08090003" w:tentative="1">
      <w:start w:val="1"/>
      <w:numFmt w:val="bullet"/>
      <w:lvlText w:val="o"/>
      <w:lvlJc w:val="left"/>
      <w:pPr>
        <w:ind w:left="2137" w:hanging="360"/>
      </w:pPr>
      <w:rPr>
        <w:rFonts w:ascii="Courier New" w:hAnsi="Courier New" w:cs="Courier New" w:hint="default"/>
      </w:rPr>
    </w:lvl>
    <w:lvl w:ilvl="2" w:tplc="08090005" w:tentative="1">
      <w:start w:val="1"/>
      <w:numFmt w:val="bullet"/>
      <w:lvlText w:val=""/>
      <w:lvlJc w:val="left"/>
      <w:pPr>
        <w:ind w:left="2857" w:hanging="360"/>
      </w:pPr>
      <w:rPr>
        <w:rFonts w:ascii="Wingdings" w:hAnsi="Wingdings" w:hint="default"/>
      </w:rPr>
    </w:lvl>
    <w:lvl w:ilvl="3" w:tplc="08090001" w:tentative="1">
      <w:start w:val="1"/>
      <w:numFmt w:val="bullet"/>
      <w:lvlText w:val=""/>
      <w:lvlJc w:val="left"/>
      <w:pPr>
        <w:ind w:left="3577" w:hanging="360"/>
      </w:pPr>
      <w:rPr>
        <w:rFonts w:ascii="Symbol" w:hAnsi="Symbol" w:hint="default"/>
      </w:rPr>
    </w:lvl>
    <w:lvl w:ilvl="4" w:tplc="08090003" w:tentative="1">
      <w:start w:val="1"/>
      <w:numFmt w:val="bullet"/>
      <w:lvlText w:val="o"/>
      <w:lvlJc w:val="left"/>
      <w:pPr>
        <w:ind w:left="4297" w:hanging="360"/>
      </w:pPr>
      <w:rPr>
        <w:rFonts w:ascii="Courier New" w:hAnsi="Courier New" w:cs="Courier New" w:hint="default"/>
      </w:rPr>
    </w:lvl>
    <w:lvl w:ilvl="5" w:tplc="08090005" w:tentative="1">
      <w:start w:val="1"/>
      <w:numFmt w:val="bullet"/>
      <w:lvlText w:val=""/>
      <w:lvlJc w:val="left"/>
      <w:pPr>
        <w:ind w:left="5017" w:hanging="360"/>
      </w:pPr>
      <w:rPr>
        <w:rFonts w:ascii="Wingdings" w:hAnsi="Wingdings" w:hint="default"/>
      </w:rPr>
    </w:lvl>
    <w:lvl w:ilvl="6" w:tplc="08090001" w:tentative="1">
      <w:start w:val="1"/>
      <w:numFmt w:val="bullet"/>
      <w:lvlText w:val=""/>
      <w:lvlJc w:val="left"/>
      <w:pPr>
        <w:ind w:left="5737" w:hanging="360"/>
      </w:pPr>
      <w:rPr>
        <w:rFonts w:ascii="Symbol" w:hAnsi="Symbol" w:hint="default"/>
      </w:rPr>
    </w:lvl>
    <w:lvl w:ilvl="7" w:tplc="08090003" w:tentative="1">
      <w:start w:val="1"/>
      <w:numFmt w:val="bullet"/>
      <w:lvlText w:val="o"/>
      <w:lvlJc w:val="left"/>
      <w:pPr>
        <w:ind w:left="6457" w:hanging="360"/>
      </w:pPr>
      <w:rPr>
        <w:rFonts w:ascii="Courier New" w:hAnsi="Courier New" w:cs="Courier New" w:hint="default"/>
      </w:rPr>
    </w:lvl>
    <w:lvl w:ilvl="8" w:tplc="08090005" w:tentative="1">
      <w:start w:val="1"/>
      <w:numFmt w:val="bullet"/>
      <w:lvlText w:val=""/>
      <w:lvlJc w:val="left"/>
      <w:pPr>
        <w:ind w:left="7177" w:hanging="360"/>
      </w:pPr>
      <w:rPr>
        <w:rFonts w:ascii="Wingdings" w:hAnsi="Wingdings" w:hint="default"/>
      </w:rPr>
    </w:lvl>
  </w:abstractNum>
  <w:abstractNum w:abstractNumId="3" w15:restartNumberingAfterBreak="0">
    <w:nsid w:val="0665034A"/>
    <w:multiLevelType w:val="hybridMultilevel"/>
    <w:tmpl w:val="9AB4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F43B9"/>
    <w:multiLevelType w:val="hybridMultilevel"/>
    <w:tmpl w:val="A2AE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E6A50"/>
    <w:multiLevelType w:val="hybridMultilevel"/>
    <w:tmpl w:val="BDF4CB1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0C670407"/>
    <w:multiLevelType w:val="multilevel"/>
    <w:tmpl w:val="4A6C901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8C46F0"/>
    <w:multiLevelType w:val="hybridMultilevel"/>
    <w:tmpl w:val="469A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B185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EF06B5"/>
    <w:multiLevelType w:val="hybridMultilevel"/>
    <w:tmpl w:val="77D20EC6"/>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0" w15:restartNumberingAfterBreak="0">
    <w:nsid w:val="209D5E5A"/>
    <w:multiLevelType w:val="hybridMultilevel"/>
    <w:tmpl w:val="FD6E0586"/>
    <w:lvl w:ilvl="0" w:tplc="1CC4D410">
      <w:numFmt w:val="bullet"/>
      <w:lvlText w:val="-"/>
      <w:lvlJc w:val="left"/>
      <w:pPr>
        <w:ind w:left="720" w:hanging="360"/>
      </w:pPr>
      <w:rPr>
        <w:rFonts w:ascii="Calibri" w:eastAsiaTheme="minorHAnsi" w:hAnsi="Calibri" w:cs="Calibri" w:hint="default"/>
      </w:rPr>
    </w:lvl>
    <w:lvl w:ilvl="1" w:tplc="1CC4D41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774E5"/>
    <w:multiLevelType w:val="hybridMultilevel"/>
    <w:tmpl w:val="15D02C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47BC5F0E">
      <w:start w:val="1"/>
      <w:numFmt w:val="bullet"/>
      <w:lvlText w:val=""/>
      <w:lvlJc w:val="left"/>
      <w:pPr>
        <w:ind w:left="2160" w:hanging="360"/>
      </w:pPr>
      <w:rPr>
        <w:rFonts w:ascii="Symbol" w:hAnsi="Symbol" w:hint="default"/>
        <w:sz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FD7F7E"/>
    <w:multiLevelType w:val="hybridMultilevel"/>
    <w:tmpl w:val="3404D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3" w15:restartNumberingAfterBreak="0">
    <w:nsid w:val="2A204C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291B0F"/>
    <w:multiLevelType w:val="multilevel"/>
    <w:tmpl w:val="9C4C8484"/>
    <w:lvl w:ilvl="0">
      <w:start w:val="1"/>
      <w:numFmt w:val="decimal"/>
      <w:lvlText w:val="%1."/>
      <w:lvlJc w:val="left"/>
      <w:pPr>
        <w:tabs>
          <w:tab w:val="num" w:pos="720"/>
        </w:tabs>
        <w:ind w:left="720" w:hanging="720"/>
      </w:pPr>
      <w:rPr>
        <w:rFonts w:ascii="Arial" w:hAnsi="Arial" w:hint="default"/>
        <w:b w:val="0"/>
        <w:i w:val="0"/>
        <w:sz w:val="24"/>
        <w:szCs w:val="24"/>
        <w:u w:val="none"/>
      </w:rPr>
    </w:lvl>
    <w:lvl w:ilvl="1">
      <w:start w:val="1"/>
      <w:numFmt w:val="lowerLetter"/>
      <w:lvlText w:val="(%2)"/>
      <w:lvlJc w:val="left"/>
      <w:pPr>
        <w:tabs>
          <w:tab w:val="num" w:pos="1440"/>
        </w:tabs>
        <w:ind w:left="1440" w:hanging="720"/>
      </w:pPr>
      <w:rPr>
        <w:rFonts w:hint="default"/>
        <w:b w:val="0"/>
        <w:i w:val="0"/>
        <w:sz w:val="24"/>
        <w:szCs w:val="24"/>
        <w:u w:val="none"/>
      </w:rPr>
    </w:lvl>
    <w:lvl w:ilvl="2">
      <w:start w:val="1"/>
      <w:numFmt w:val="decimal"/>
      <w:lvlText w:val="(%3)"/>
      <w:lvlJc w:val="left"/>
      <w:pPr>
        <w:tabs>
          <w:tab w:val="num" w:pos="2160"/>
        </w:tabs>
        <w:ind w:left="2160" w:hanging="720"/>
      </w:pPr>
      <w:rPr>
        <w:rFonts w:hint="default"/>
        <w:b w:val="0"/>
        <w:i w:val="0"/>
        <w:sz w:val="24"/>
        <w:szCs w:val="24"/>
        <w:u w:val="none"/>
      </w:rPr>
    </w:lvl>
    <w:lvl w:ilvl="3">
      <w:start w:val="1"/>
      <w:numFmt w:val="lowerRoman"/>
      <w:lvlText w:val="(%4)"/>
      <w:lvlJc w:val="left"/>
      <w:pPr>
        <w:tabs>
          <w:tab w:val="num" w:pos="2880"/>
        </w:tabs>
        <w:ind w:left="2880" w:hanging="720"/>
      </w:pPr>
      <w:rPr>
        <w:rFonts w:hint="default"/>
        <w:b w:val="0"/>
        <w:i w:val="0"/>
        <w:sz w:val="24"/>
        <w:szCs w:val="24"/>
        <w:u w:val="none"/>
      </w:rPr>
    </w:lvl>
    <w:lvl w:ilvl="4">
      <w:start w:val="1"/>
      <w:numFmt w:val="lowerLetter"/>
      <w:lvlText w:val="(%5)"/>
      <w:lvlJc w:val="left"/>
      <w:pPr>
        <w:tabs>
          <w:tab w:val="num" w:pos="1440"/>
        </w:tabs>
        <w:ind w:left="1440" w:hanging="720"/>
      </w:pPr>
      <w:rPr>
        <w:rFonts w:hint="default"/>
        <w:b/>
        <w:i w:val="0"/>
        <w:sz w:val="24"/>
        <w:szCs w:val="24"/>
      </w:rPr>
    </w:lvl>
    <w:lvl w:ilvl="5">
      <w:start w:val="1"/>
      <w:numFmt w:val="decimal"/>
      <w:lvlText w:val="(%6)"/>
      <w:lvlJc w:val="left"/>
      <w:pPr>
        <w:tabs>
          <w:tab w:val="num" w:pos="2160"/>
        </w:tabs>
        <w:ind w:left="2160" w:hanging="720"/>
      </w:pPr>
      <w:rPr>
        <w:rFonts w:hint="default"/>
        <w:b/>
        <w:i w:val="0"/>
        <w:sz w:val="24"/>
        <w:szCs w:val="24"/>
      </w:rPr>
    </w:lvl>
    <w:lvl w:ilvl="6">
      <w:start w:val="1"/>
      <w:numFmt w:val="lowerRoman"/>
      <w:lvlText w:val="(%7)"/>
      <w:lvlJc w:val="left"/>
      <w:pPr>
        <w:tabs>
          <w:tab w:val="num" w:pos="2880"/>
        </w:tabs>
        <w:ind w:left="2880" w:hanging="720"/>
      </w:pPr>
      <w:rPr>
        <w:rFonts w:hint="default"/>
        <w:b/>
        <w:i w:val="0"/>
        <w:sz w:val="24"/>
        <w:szCs w:val="24"/>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5" w15:restartNumberingAfterBreak="0">
    <w:nsid w:val="322F6D86"/>
    <w:multiLevelType w:val="hybridMultilevel"/>
    <w:tmpl w:val="9F5055B8"/>
    <w:lvl w:ilvl="0" w:tplc="03923B8A">
      <w:start w:val="1"/>
      <w:numFmt w:val="decimal"/>
      <w:lvlText w:val="%1."/>
      <w:lvlJc w:val="left"/>
      <w:pPr>
        <w:ind w:left="477" w:hanging="360"/>
      </w:pPr>
      <w:rPr>
        <w:rFonts w:hint="default"/>
        <w:b w:val="0"/>
        <w:bCs w:val="0"/>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16" w15:restartNumberingAfterBreak="0">
    <w:nsid w:val="32E962A8"/>
    <w:multiLevelType w:val="hybridMultilevel"/>
    <w:tmpl w:val="21D6951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65047E4"/>
    <w:multiLevelType w:val="hybridMultilevel"/>
    <w:tmpl w:val="73A4D4F6"/>
    <w:lvl w:ilvl="0" w:tplc="FDB0D91A">
      <w:numFmt w:val="bullet"/>
      <w:lvlText w:val="·"/>
      <w:lvlJc w:val="left"/>
      <w:pPr>
        <w:ind w:left="76" w:hanging="360"/>
      </w:pPr>
      <w:rPr>
        <w:rFonts w:ascii="Arial" w:eastAsia="Arial"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8" w15:restartNumberingAfterBreak="0">
    <w:nsid w:val="37130B3C"/>
    <w:multiLevelType w:val="hybridMultilevel"/>
    <w:tmpl w:val="6E10CB1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3BFA20B4"/>
    <w:multiLevelType w:val="hybridMultilevel"/>
    <w:tmpl w:val="3C0615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EC121B"/>
    <w:multiLevelType w:val="hybridMultilevel"/>
    <w:tmpl w:val="A1C81D5A"/>
    <w:lvl w:ilvl="0" w:tplc="1CC4D410">
      <w:numFmt w:val="bullet"/>
      <w:lvlText w:val="-"/>
      <w:lvlJc w:val="left"/>
      <w:pPr>
        <w:ind w:left="720" w:hanging="360"/>
      </w:pPr>
      <w:rPr>
        <w:rFonts w:ascii="Calibri" w:eastAsiaTheme="minorHAnsi" w:hAnsi="Calibri" w:cs="Calibri" w:hint="default"/>
      </w:rPr>
    </w:lvl>
    <w:lvl w:ilvl="1" w:tplc="5DEA664A">
      <w:numFmt w:val="bullet"/>
      <w:lvlText w:val="•"/>
      <w:lvlJc w:val="left"/>
      <w:pPr>
        <w:ind w:left="1800" w:hanging="72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CA4684"/>
    <w:multiLevelType w:val="hybridMultilevel"/>
    <w:tmpl w:val="E0388922"/>
    <w:lvl w:ilvl="0" w:tplc="C2C6AB5E">
      <w:start w:val="1"/>
      <w:numFmt w:val="bullet"/>
      <w:lvlText w:val=""/>
      <w:lvlJc w:val="left"/>
      <w:pPr>
        <w:ind w:left="152" w:hanging="360"/>
      </w:pPr>
      <w:rPr>
        <w:rFonts w:ascii="Symbol" w:hAnsi="Symbol" w:hint="default"/>
        <w:sz w:val="22"/>
        <w:szCs w:val="2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2" w15:restartNumberingAfterBreak="0">
    <w:nsid w:val="41674ADF"/>
    <w:multiLevelType w:val="hybridMultilevel"/>
    <w:tmpl w:val="6E88EE8C"/>
    <w:lvl w:ilvl="0" w:tplc="03923B8A">
      <w:start w:val="1"/>
      <w:numFmt w:val="decimal"/>
      <w:lvlText w:val="%1."/>
      <w:lvlJc w:val="left"/>
      <w:pPr>
        <w:ind w:left="477" w:hanging="360"/>
      </w:pPr>
      <w:rPr>
        <w:rFonts w:hint="default"/>
        <w:b w:val="0"/>
        <w:bCs w:val="0"/>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23" w15:restartNumberingAfterBreak="0">
    <w:nsid w:val="420A3B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B80304"/>
    <w:multiLevelType w:val="hybridMultilevel"/>
    <w:tmpl w:val="D4B2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9841F8"/>
    <w:multiLevelType w:val="hybridMultilevel"/>
    <w:tmpl w:val="10FCE0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A95F2D"/>
    <w:multiLevelType w:val="hybridMultilevel"/>
    <w:tmpl w:val="07849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06873FD"/>
    <w:multiLevelType w:val="hybridMultilevel"/>
    <w:tmpl w:val="A0D24060"/>
    <w:lvl w:ilvl="0" w:tplc="43C0ADBA">
      <w:start w:val="1"/>
      <w:numFmt w:val="decimal"/>
      <w:lvlText w:val="%1."/>
      <w:lvlJc w:val="left"/>
      <w:pPr>
        <w:tabs>
          <w:tab w:val="num" w:pos="720"/>
        </w:tabs>
        <w:ind w:left="720" w:hanging="720"/>
      </w:pPr>
      <w:rPr>
        <w:rFonts w:ascii="Arial" w:hAnsi="Arial" w:hint="default"/>
        <w:b w:val="0"/>
        <w:i w:val="0"/>
        <w:strike w:val="0"/>
        <w:sz w:val="24"/>
      </w:rPr>
    </w:lvl>
    <w:lvl w:ilvl="1" w:tplc="ABD465A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1E1382"/>
    <w:multiLevelType w:val="hybridMultilevel"/>
    <w:tmpl w:val="51FA5EA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9" w15:restartNumberingAfterBreak="0">
    <w:nsid w:val="57D43A85"/>
    <w:multiLevelType w:val="multilevel"/>
    <w:tmpl w:val="87D2E3DE"/>
    <w:lvl w:ilvl="0">
      <w:start w:val="4"/>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736" w:hanging="1800"/>
      </w:pPr>
      <w:rPr>
        <w:rFonts w:hint="default"/>
      </w:rPr>
    </w:lvl>
  </w:abstractNum>
  <w:abstractNum w:abstractNumId="30" w15:restartNumberingAfterBreak="0">
    <w:nsid w:val="58B55F2F"/>
    <w:multiLevelType w:val="hybridMultilevel"/>
    <w:tmpl w:val="2CE0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EB4D02"/>
    <w:multiLevelType w:val="multilevel"/>
    <w:tmpl w:val="0809001F"/>
    <w:lvl w:ilvl="0">
      <w:start w:val="1"/>
      <w:numFmt w:val="decimal"/>
      <w:lvlText w:val="%1."/>
      <w:lvlJc w:val="left"/>
      <w:pPr>
        <w:ind w:left="360" w:hanging="360"/>
      </w:pPr>
      <w:rPr>
        <w:rFonts w:hint="default"/>
        <w:b w:val="0"/>
        <w:i w:val="0"/>
        <w:sz w:val="24"/>
        <w:szCs w:val="24"/>
        <w:u w:val="none"/>
      </w:rPr>
    </w:lvl>
    <w:lvl w:ilvl="1">
      <w:start w:val="1"/>
      <w:numFmt w:val="decimal"/>
      <w:lvlText w:val="%1.%2."/>
      <w:lvlJc w:val="left"/>
      <w:pPr>
        <w:ind w:left="792" w:hanging="432"/>
      </w:pPr>
      <w:rPr>
        <w:rFonts w:hint="default"/>
        <w:b w:val="0"/>
        <w:i w:val="0"/>
        <w:sz w:val="24"/>
        <w:szCs w:val="24"/>
        <w:u w:val="none"/>
      </w:rPr>
    </w:lvl>
    <w:lvl w:ilvl="2">
      <w:start w:val="1"/>
      <w:numFmt w:val="decimal"/>
      <w:lvlText w:val="%1.%2.%3."/>
      <w:lvlJc w:val="left"/>
      <w:pPr>
        <w:ind w:left="1224" w:hanging="504"/>
      </w:pPr>
      <w:rPr>
        <w:rFonts w:hint="default"/>
        <w:b w:val="0"/>
        <w:i w:val="0"/>
        <w:sz w:val="24"/>
        <w:szCs w:val="24"/>
        <w:u w:val="none"/>
      </w:rPr>
    </w:lvl>
    <w:lvl w:ilvl="3">
      <w:start w:val="1"/>
      <w:numFmt w:val="decimal"/>
      <w:lvlText w:val="%1.%2.%3.%4."/>
      <w:lvlJc w:val="left"/>
      <w:pPr>
        <w:ind w:left="1728" w:hanging="648"/>
      </w:pPr>
      <w:rPr>
        <w:rFonts w:hint="default"/>
        <w:b w:val="0"/>
        <w:i w:val="0"/>
        <w:sz w:val="24"/>
        <w:szCs w:val="24"/>
        <w:u w:val="none"/>
      </w:rPr>
    </w:lvl>
    <w:lvl w:ilvl="4">
      <w:start w:val="1"/>
      <w:numFmt w:val="decimal"/>
      <w:lvlText w:val="%1.%2.%3.%4.%5."/>
      <w:lvlJc w:val="left"/>
      <w:pPr>
        <w:ind w:left="2232" w:hanging="792"/>
      </w:pPr>
      <w:rPr>
        <w:rFonts w:hint="default"/>
        <w:b/>
        <w:i w:val="0"/>
        <w:sz w:val="24"/>
        <w:szCs w:val="24"/>
      </w:rPr>
    </w:lvl>
    <w:lvl w:ilvl="5">
      <w:start w:val="1"/>
      <w:numFmt w:val="decimal"/>
      <w:lvlText w:val="%1.%2.%3.%4.%5.%6."/>
      <w:lvlJc w:val="left"/>
      <w:pPr>
        <w:ind w:left="2736" w:hanging="936"/>
      </w:pPr>
      <w:rPr>
        <w:rFonts w:hint="default"/>
        <w:b/>
        <w:i w:val="0"/>
        <w:sz w:val="24"/>
        <w:szCs w:val="24"/>
      </w:rPr>
    </w:lvl>
    <w:lvl w:ilvl="6">
      <w:start w:val="1"/>
      <w:numFmt w:val="decimal"/>
      <w:lvlText w:val="%1.%2.%3.%4.%5.%6.%7."/>
      <w:lvlJc w:val="left"/>
      <w:pPr>
        <w:ind w:left="3240" w:hanging="1080"/>
      </w:pPr>
      <w:rPr>
        <w:rFonts w:hint="default"/>
        <w:b/>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7316B9"/>
    <w:multiLevelType w:val="hybridMultilevel"/>
    <w:tmpl w:val="D97AC6E8"/>
    <w:lvl w:ilvl="0" w:tplc="1CC4D4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113BB8"/>
    <w:multiLevelType w:val="hybridMultilevel"/>
    <w:tmpl w:val="94E45552"/>
    <w:lvl w:ilvl="0" w:tplc="08090019">
      <w:start w:val="1"/>
      <w:numFmt w:val="lowerLetter"/>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4" w15:restartNumberingAfterBreak="0">
    <w:nsid w:val="679C2C09"/>
    <w:multiLevelType w:val="hybridMultilevel"/>
    <w:tmpl w:val="33E8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F6781F"/>
    <w:multiLevelType w:val="hybridMultilevel"/>
    <w:tmpl w:val="07E89ECA"/>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6" w15:restartNumberingAfterBreak="0">
    <w:nsid w:val="6B65420D"/>
    <w:multiLevelType w:val="hybridMultilevel"/>
    <w:tmpl w:val="02C0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3E3B4E"/>
    <w:multiLevelType w:val="hybridMultilevel"/>
    <w:tmpl w:val="A09E7F3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8" w15:restartNumberingAfterBreak="0">
    <w:nsid w:val="705E25D2"/>
    <w:multiLevelType w:val="hybridMultilevel"/>
    <w:tmpl w:val="E7EA7EE0"/>
    <w:lvl w:ilvl="0" w:tplc="C2C6AB5E">
      <w:start w:val="1"/>
      <w:numFmt w:val="bullet"/>
      <w:lvlText w:val=""/>
      <w:lvlJc w:val="left"/>
      <w:pPr>
        <w:ind w:left="436" w:hanging="360"/>
      </w:pPr>
      <w:rPr>
        <w:rFonts w:ascii="Symbol" w:hAnsi="Symbol" w:hint="default"/>
        <w:sz w:val="22"/>
        <w:szCs w:val="2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9" w15:restartNumberingAfterBreak="0">
    <w:nsid w:val="71767E38"/>
    <w:multiLevelType w:val="hybridMultilevel"/>
    <w:tmpl w:val="EB2EC32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0" w15:restartNumberingAfterBreak="0">
    <w:nsid w:val="7C150A1F"/>
    <w:multiLevelType w:val="hybridMultilevel"/>
    <w:tmpl w:val="EAF2D7C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7DCC567E"/>
    <w:multiLevelType w:val="hybridMultilevel"/>
    <w:tmpl w:val="D43EC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A8486C"/>
    <w:multiLevelType w:val="multilevel"/>
    <w:tmpl w:val="9C4C8484"/>
    <w:lvl w:ilvl="0">
      <w:start w:val="1"/>
      <w:numFmt w:val="decimal"/>
      <w:lvlText w:val="%1."/>
      <w:lvlJc w:val="left"/>
      <w:pPr>
        <w:tabs>
          <w:tab w:val="num" w:pos="720"/>
        </w:tabs>
        <w:ind w:left="720" w:hanging="720"/>
      </w:pPr>
      <w:rPr>
        <w:rFonts w:ascii="Arial" w:hAnsi="Arial" w:hint="default"/>
        <w:b w:val="0"/>
        <w:i w:val="0"/>
        <w:sz w:val="24"/>
        <w:szCs w:val="24"/>
        <w:u w:val="none"/>
      </w:rPr>
    </w:lvl>
    <w:lvl w:ilvl="1">
      <w:start w:val="1"/>
      <w:numFmt w:val="lowerLetter"/>
      <w:lvlText w:val="(%2)"/>
      <w:lvlJc w:val="left"/>
      <w:pPr>
        <w:tabs>
          <w:tab w:val="num" w:pos="1440"/>
        </w:tabs>
        <w:ind w:left="1440" w:hanging="720"/>
      </w:pPr>
      <w:rPr>
        <w:rFonts w:hint="default"/>
        <w:b w:val="0"/>
        <w:i w:val="0"/>
        <w:sz w:val="24"/>
        <w:szCs w:val="24"/>
        <w:u w:val="none"/>
      </w:rPr>
    </w:lvl>
    <w:lvl w:ilvl="2">
      <w:start w:val="1"/>
      <w:numFmt w:val="decimal"/>
      <w:lvlText w:val="(%3)"/>
      <w:lvlJc w:val="left"/>
      <w:pPr>
        <w:tabs>
          <w:tab w:val="num" w:pos="2160"/>
        </w:tabs>
        <w:ind w:left="2160" w:hanging="720"/>
      </w:pPr>
      <w:rPr>
        <w:rFonts w:hint="default"/>
        <w:b w:val="0"/>
        <w:i w:val="0"/>
        <w:sz w:val="24"/>
        <w:szCs w:val="24"/>
        <w:u w:val="none"/>
      </w:rPr>
    </w:lvl>
    <w:lvl w:ilvl="3">
      <w:start w:val="1"/>
      <w:numFmt w:val="lowerRoman"/>
      <w:lvlText w:val="(%4)"/>
      <w:lvlJc w:val="left"/>
      <w:pPr>
        <w:tabs>
          <w:tab w:val="num" w:pos="2880"/>
        </w:tabs>
        <w:ind w:left="2880" w:hanging="720"/>
      </w:pPr>
      <w:rPr>
        <w:rFonts w:hint="default"/>
        <w:b w:val="0"/>
        <w:i w:val="0"/>
        <w:sz w:val="24"/>
        <w:szCs w:val="24"/>
        <w:u w:val="none"/>
      </w:rPr>
    </w:lvl>
    <w:lvl w:ilvl="4">
      <w:start w:val="1"/>
      <w:numFmt w:val="lowerLetter"/>
      <w:lvlText w:val="(%5)"/>
      <w:lvlJc w:val="left"/>
      <w:pPr>
        <w:tabs>
          <w:tab w:val="num" w:pos="1440"/>
        </w:tabs>
        <w:ind w:left="1440" w:hanging="720"/>
      </w:pPr>
      <w:rPr>
        <w:rFonts w:hint="default"/>
        <w:b/>
        <w:i w:val="0"/>
        <w:sz w:val="24"/>
        <w:szCs w:val="24"/>
      </w:rPr>
    </w:lvl>
    <w:lvl w:ilvl="5">
      <w:start w:val="1"/>
      <w:numFmt w:val="decimal"/>
      <w:lvlText w:val="(%6)"/>
      <w:lvlJc w:val="left"/>
      <w:pPr>
        <w:tabs>
          <w:tab w:val="num" w:pos="2160"/>
        </w:tabs>
        <w:ind w:left="2160" w:hanging="720"/>
      </w:pPr>
      <w:rPr>
        <w:rFonts w:hint="default"/>
        <w:b/>
        <w:i w:val="0"/>
        <w:sz w:val="24"/>
        <w:szCs w:val="24"/>
      </w:rPr>
    </w:lvl>
    <w:lvl w:ilvl="6">
      <w:start w:val="1"/>
      <w:numFmt w:val="lowerRoman"/>
      <w:lvlText w:val="(%7)"/>
      <w:lvlJc w:val="left"/>
      <w:pPr>
        <w:tabs>
          <w:tab w:val="num" w:pos="2880"/>
        </w:tabs>
        <w:ind w:left="2880" w:hanging="720"/>
      </w:pPr>
      <w:rPr>
        <w:rFonts w:hint="default"/>
        <w:b/>
        <w:i w:val="0"/>
        <w:sz w:val="24"/>
        <w:szCs w:val="24"/>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num w:numId="1">
    <w:abstractNumId w:val="19"/>
  </w:num>
  <w:num w:numId="2">
    <w:abstractNumId w:val="2"/>
  </w:num>
  <w:num w:numId="3">
    <w:abstractNumId w:val="30"/>
  </w:num>
  <w:num w:numId="4">
    <w:abstractNumId w:val="5"/>
  </w:num>
  <w:num w:numId="5">
    <w:abstractNumId w:val="12"/>
  </w:num>
  <w:num w:numId="6">
    <w:abstractNumId w:val="11"/>
  </w:num>
  <w:num w:numId="7">
    <w:abstractNumId w:val="3"/>
  </w:num>
  <w:num w:numId="8">
    <w:abstractNumId w:val="40"/>
  </w:num>
  <w:num w:numId="9">
    <w:abstractNumId w:val="0"/>
  </w:num>
  <w:num w:numId="10">
    <w:abstractNumId w:val="28"/>
  </w:num>
  <w:num w:numId="11">
    <w:abstractNumId w:val="39"/>
  </w:num>
  <w:num w:numId="12">
    <w:abstractNumId w:val="17"/>
  </w:num>
  <w:num w:numId="13">
    <w:abstractNumId w:val="20"/>
  </w:num>
  <w:num w:numId="14">
    <w:abstractNumId w:val="1"/>
  </w:num>
  <w:num w:numId="15">
    <w:abstractNumId w:val="32"/>
  </w:num>
  <w:num w:numId="16">
    <w:abstractNumId w:val="10"/>
  </w:num>
  <w:num w:numId="17">
    <w:abstractNumId w:val="15"/>
  </w:num>
  <w:num w:numId="18">
    <w:abstractNumId w:val="29"/>
  </w:num>
  <w:num w:numId="19">
    <w:abstractNumId w:val="36"/>
  </w:num>
  <w:num w:numId="20">
    <w:abstractNumId w:val="38"/>
  </w:num>
  <w:num w:numId="21">
    <w:abstractNumId w:val="21"/>
  </w:num>
  <w:num w:numId="22">
    <w:abstractNumId w:val="9"/>
  </w:num>
  <w:num w:numId="23">
    <w:abstractNumId w:val="35"/>
  </w:num>
  <w:num w:numId="24">
    <w:abstractNumId w:val="4"/>
  </w:num>
  <w:num w:numId="25">
    <w:abstractNumId w:val="7"/>
  </w:num>
  <w:num w:numId="26">
    <w:abstractNumId w:val="33"/>
  </w:num>
  <w:num w:numId="27">
    <w:abstractNumId w:val="25"/>
  </w:num>
  <w:num w:numId="28">
    <w:abstractNumId w:val="37"/>
  </w:num>
  <w:num w:numId="29">
    <w:abstractNumId w:val="24"/>
  </w:num>
  <w:num w:numId="30">
    <w:abstractNumId w:val="34"/>
  </w:num>
  <w:num w:numId="31">
    <w:abstractNumId w:val="26"/>
  </w:num>
  <w:num w:numId="32">
    <w:abstractNumId w:val="27"/>
  </w:num>
  <w:num w:numId="33">
    <w:abstractNumId w:val="41"/>
  </w:num>
  <w:num w:numId="34">
    <w:abstractNumId w:val="16"/>
  </w:num>
  <w:num w:numId="35">
    <w:abstractNumId w:val="6"/>
  </w:num>
  <w:num w:numId="36">
    <w:abstractNumId w:val="22"/>
  </w:num>
  <w:num w:numId="37">
    <w:abstractNumId w:val="31"/>
  </w:num>
  <w:num w:numId="38">
    <w:abstractNumId w:val="14"/>
  </w:num>
  <w:num w:numId="39">
    <w:abstractNumId w:val="42"/>
  </w:num>
  <w:num w:numId="40">
    <w:abstractNumId w:val="18"/>
  </w:num>
  <w:num w:numId="41">
    <w:abstractNumId w:val="8"/>
  </w:num>
  <w:num w:numId="42">
    <w:abstractNumId w:val="23"/>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5F"/>
    <w:rsid w:val="00000664"/>
    <w:rsid w:val="000048BB"/>
    <w:rsid w:val="0001252C"/>
    <w:rsid w:val="00012612"/>
    <w:rsid w:val="00013804"/>
    <w:rsid w:val="00014752"/>
    <w:rsid w:val="0001534F"/>
    <w:rsid w:val="00015793"/>
    <w:rsid w:val="0001747A"/>
    <w:rsid w:val="00020705"/>
    <w:rsid w:val="00022171"/>
    <w:rsid w:val="00022BD5"/>
    <w:rsid w:val="00027444"/>
    <w:rsid w:val="00030915"/>
    <w:rsid w:val="00032B17"/>
    <w:rsid w:val="000363C9"/>
    <w:rsid w:val="00043B95"/>
    <w:rsid w:val="00044D99"/>
    <w:rsid w:val="00044FEE"/>
    <w:rsid w:val="00045E35"/>
    <w:rsid w:val="00047F0B"/>
    <w:rsid w:val="00052C45"/>
    <w:rsid w:val="00055FA8"/>
    <w:rsid w:val="0005784D"/>
    <w:rsid w:val="00057894"/>
    <w:rsid w:val="00060095"/>
    <w:rsid w:val="00063190"/>
    <w:rsid w:val="000635FC"/>
    <w:rsid w:val="000667B4"/>
    <w:rsid w:val="00083DB1"/>
    <w:rsid w:val="0008450C"/>
    <w:rsid w:val="00085400"/>
    <w:rsid w:val="00090ED9"/>
    <w:rsid w:val="00092969"/>
    <w:rsid w:val="000965AE"/>
    <w:rsid w:val="000971B5"/>
    <w:rsid w:val="000A0D0F"/>
    <w:rsid w:val="000A29B8"/>
    <w:rsid w:val="000A3355"/>
    <w:rsid w:val="000A46FE"/>
    <w:rsid w:val="000A4FED"/>
    <w:rsid w:val="000A64B4"/>
    <w:rsid w:val="000B3897"/>
    <w:rsid w:val="000B7251"/>
    <w:rsid w:val="000B75D3"/>
    <w:rsid w:val="000C002E"/>
    <w:rsid w:val="000C1346"/>
    <w:rsid w:val="000C49FE"/>
    <w:rsid w:val="000C635E"/>
    <w:rsid w:val="000C6791"/>
    <w:rsid w:val="000D4C38"/>
    <w:rsid w:val="000D7DEE"/>
    <w:rsid w:val="000E4E87"/>
    <w:rsid w:val="000F1544"/>
    <w:rsid w:val="000F35D7"/>
    <w:rsid w:val="000F50BA"/>
    <w:rsid w:val="000F7137"/>
    <w:rsid w:val="00101732"/>
    <w:rsid w:val="0010419E"/>
    <w:rsid w:val="001051D5"/>
    <w:rsid w:val="0010643D"/>
    <w:rsid w:val="00107A88"/>
    <w:rsid w:val="00107E7F"/>
    <w:rsid w:val="00110C89"/>
    <w:rsid w:val="00112E40"/>
    <w:rsid w:val="001151B1"/>
    <w:rsid w:val="00115694"/>
    <w:rsid w:val="00115796"/>
    <w:rsid w:val="00115F75"/>
    <w:rsid w:val="00122520"/>
    <w:rsid w:val="00125F65"/>
    <w:rsid w:val="001306F6"/>
    <w:rsid w:val="001334B4"/>
    <w:rsid w:val="00134B66"/>
    <w:rsid w:val="00136CF9"/>
    <w:rsid w:val="00137440"/>
    <w:rsid w:val="0014187F"/>
    <w:rsid w:val="001420CE"/>
    <w:rsid w:val="001427E4"/>
    <w:rsid w:val="00144628"/>
    <w:rsid w:val="00146B7A"/>
    <w:rsid w:val="00146BFE"/>
    <w:rsid w:val="00146DC3"/>
    <w:rsid w:val="00157197"/>
    <w:rsid w:val="0016099E"/>
    <w:rsid w:val="00164BF6"/>
    <w:rsid w:val="001666EF"/>
    <w:rsid w:val="00166FBB"/>
    <w:rsid w:val="00167E25"/>
    <w:rsid w:val="00174A32"/>
    <w:rsid w:val="00174DDB"/>
    <w:rsid w:val="00176459"/>
    <w:rsid w:val="00180473"/>
    <w:rsid w:val="0018760B"/>
    <w:rsid w:val="00190622"/>
    <w:rsid w:val="00192F7C"/>
    <w:rsid w:val="00196557"/>
    <w:rsid w:val="00197C45"/>
    <w:rsid w:val="00197D1E"/>
    <w:rsid w:val="001A1387"/>
    <w:rsid w:val="001A3AAB"/>
    <w:rsid w:val="001A772B"/>
    <w:rsid w:val="001A7C89"/>
    <w:rsid w:val="001B1287"/>
    <w:rsid w:val="001B2A80"/>
    <w:rsid w:val="001B4E97"/>
    <w:rsid w:val="001B5597"/>
    <w:rsid w:val="001B71BA"/>
    <w:rsid w:val="001C687D"/>
    <w:rsid w:val="001D1608"/>
    <w:rsid w:val="001D29AE"/>
    <w:rsid w:val="001D5757"/>
    <w:rsid w:val="001D7221"/>
    <w:rsid w:val="001E0F9C"/>
    <w:rsid w:val="001E6258"/>
    <w:rsid w:val="001F0862"/>
    <w:rsid w:val="001F09C4"/>
    <w:rsid w:val="001F3107"/>
    <w:rsid w:val="001F42D3"/>
    <w:rsid w:val="001F54C3"/>
    <w:rsid w:val="001F6EDC"/>
    <w:rsid w:val="001F73E6"/>
    <w:rsid w:val="001F7D70"/>
    <w:rsid w:val="002023A6"/>
    <w:rsid w:val="00203BE1"/>
    <w:rsid w:val="00205F36"/>
    <w:rsid w:val="00206A4D"/>
    <w:rsid w:val="002107AE"/>
    <w:rsid w:val="0021089C"/>
    <w:rsid w:val="00217995"/>
    <w:rsid w:val="00221FC3"/>
    <w:rsid w:val="0022351B"/>
    <w:rsid w:val="00224D5F"/>
    <w:rsid w:val="00226F90"/>
    <w:rsid w:val="00232288"/>
    <w:rsid w:val="00242AE1"/>
    <w:rsid w:val="00253773"/>
    <w:rsid w:val="00254B89"/>
    <w:rsid w:val="00256F1D"/>
    <w:rsid w:val="00260D82"/>
    <w:rsid w:val="002624AE"/>
    <w:rsid w:val="00263600"/>
    <w:rsid w:val="00263B19"/>
    <w:rsid w:val="00263E38"/>
    <w:rsid w:val="00264784"/>
    <w:rsid w:val="002731E3"/>
    <w:rsid w:val="00273A00"/>
    <w:rsid w:val="0027424B"/>
    <w:rsid w:val="00274937"/>
    <w:rsid w:val="002753E1"/>
    <w:rsid w:val="002754F6"/>
    <w:rsid w:val="0027673C"/>
    <w:rsid w:val="00280699"/>
    <w:rsid w:val="0028368B"/>
    <w:rsid w:val="00283A19"/>
    <w:rsid w:val="0029215C"/>
    <w:rsid w:val="00293EC7"/>
    <w:rsid w:val="002946FF"/>
    <w:rsid w:val="00295338"/>
    <w:rsid w:val="0029570A"/>
    <w:rsid w:val="002978BE"/>
    <w:rsid w:val="002A543E"/>
    <w:rsid w:val="002A5BF9"/>
    <w:rsid w:val="002B50F7"/>
    <w:rsid w:val="002B7FA4"/>
    <w:rsid w:val="002C19B2"/>
    <w:rsid w:val="002C1AC3"/>
    <w:rsid w:val="002C5ACF"/>
    <w:rsid w:val="002C7862"/>
    <w:rsid w:val="002D4D82"/>
    <w:rsid w:val="002D5A91"/>
    <w:rsid w:val="002D699B"/>
    <w:rsid w:val="002E18A2"/>
    <w:rsid w:val="002E2C27"/>
    <w:rsid w:val="002F338D"/>
    <w:rsid w:val="002F53D4"/>
    <w:rsid w:val="002F54CD"/>
    <w:rsid w:val="002F5775"/>
    <w:rsid w:val="002F5889"/>
    <w:rsid w:val="002F5D2B"/>
    <w:rsid w:val="0030291A"/>
    <w:rsid w:val="00303236"/>
    <w:rsid w:val="003059EA"/>
    <w:rsid w:val="003213D8"/>
    <w:rsid w:val="0033411E"/>
    <w:rsid w:val="00334E57"/>
    <w:rsid w:val="0034690B"/>
    <w:rsid w:val="003520FB"/>
    <w:rsid w:val="00354D8B"/>
    <w:rsid w:val="00357A27"/>
    <w:rsid w:val="00365273"/>
    <w:rsid w:val="00367A6F"/>
    <w:rsid w:val="00371663"/>
    <w:rsid w:val="00372D78"/>
    <w:rsid w:val="00374507"/>
    <w:rsid w:val="00375B41"/>
    <w:rsid w:val="0037692E"/>
    <w:rsid w:val="00376DA9"/>
    <w:rsid w:val="00377897"/>
    <w:rsid w:val="00381297"/>
    <w:rsid w:val="00382941"/>
    <w:rsid w:val="003852B7"/>
    <w:rsid w:val="003904F6"/>
    <w:rsid w:val="0039114F"/>
    <w:rsid w:val="00392264"/>
    <w:rsid w:val="00392A20"/>
    <w:rsid w:val="003947FE"/>
    <w:rsid w:val="00397045"/>
    <w:rsid w:val="003A1BEF"/>
    <w:rsid w:val="003A2A1B"/>
    <w:rsid w:val="003A2B16"/>
    <w:rsid w:val="003A42B5"/>
    <w:rsid w:val="003A6543"/>
    <w:rsid w:val="003B4473"/>
    <w:rsid w:val="003C03C4"/>
    <w:rsid w:val="003C381D"/>
    <w:rsid w:val="003C4048"/>
    <w:rsid w:val="003C4851"/>
    <w:rsid w:val="003C6A7C"/>
    <w:rsid w:val="003C70E1"/>
    <w:rsid w:val="003C7A9E"/>
    <w:rsid w:val="003E3050"/>
    <w:rsid w:val="003E544C"/>
    <w:rsid w:val="003E5B72"/>
    <w:rsid w:val="003E6BC0"/>
    <w:rsid w:val="003F20DA"/>
    <w:rsid w:val="003F2C5B"/>
    <w:rsid w:val="003F4917"/>
    <w:rsid w:val="003F5727"/>
    <w:rsid w:val="00401A25"/>
    <w:rsid w:val="00403056"/>
    <w:rsid w:val="004043D2"/>
    <w:rsid w:val="0040533D"/>
    <w:rsid w:val="00410DA2"/>
    <w:rsid w:val="00412AA4"/>
    <w:rsid w:val="00417570"/>
    <w:rsid w:val="004227C8"/>
    <w:rsid w:val="0042435F"/>
    <w:rsid w:val="0042578E"/>
    <w:rsid w:val="00431E8D"/>
    <w:rsid w:val="00432CDC"/>
    <w:rsid w:val="00433C06"/>
    <w:rsid w:val="00433CC0"/>
    <w:rsid w:val="0043656D"/>
    <w:rsid w:val="004430AE"/>
    <w:rsid w:val="004436D6"/>
    <w:rsid w:val="00447AD8"/>
    <w:rsid w:val="0045655A"/>
    <w:rsid w:val="00457613"/>
    <w:rsid w:val="004621E4"/>
    <w:rsid w:val="0046355F"/>
    <w:rsid w:val="00464CB5"/>
    <w:rsid w:val="004669DD"/>
    <w:rsid w:val="0047117E"/>
    <w:rsid w:val="00472808"/>
    <w:rsid w:val="00474845"/>
    <w:rsid w:val="00474EC7"/>
    <w:rsid w:val="00475E9F"/>
    <w:rsid w:val="004811A7"/>
    <w:rsid w:val="004830ED"/>
    <w:rsid w:val="00485217"/>
    <w:rsid w:val="004932A8"/>
    <w:rsid w:val="00497D45"/>
    <w:rsid w:val="004A1EA3"/>
    <w:rsid w:val="004A23AA"/>
    <w:rsid w:val="004A2BAE"/>
    <w:rsid w:val="004A2F21"/>
    <w:rsid w:val="004A4F34"/>
    <w:rsid w:val="004A57DF"/>
    <w:rsid w:val="004A63FB"/>
    <w:rsid w:val="004B0F4D"/>
    <w:rsid w:val="004B17DA"/>
    <w:rsid w:val="004B602C"/>
    <w:rsid w:val="004B705A"/>
    <w:rsid w:val="004C0976"/>
    <w:rsid w:val="004C0FAC"/>
    <w:rsid w:val="004C1FCE"/>
    <w:rsid w:val="004C4C59"/>
    <w:rsid w:val="004C6652"/>
    <w:rsid w:val="004D3565"/>
    <w:rsid w:val="004E5036"/>
    <w:rsid w:val="004E5291"/>
    <w:rsid w:val="004E5EBB"/>
    <w:rsid w:val="004E6C40"/>
    <w:rsid w:val="004E6EB3"/>
    <w:rsid w:val="004F0B7C"/>
    <w:rsid w:val="004F3251"/>
    <w:rsid w:val="004F3EA2"/>
    <w:rsid w:val="005149EF"/>
    <w:rsid w:val="00514DAB"/>
    <w:rsid w:val="00523373"/>
    <w:rsid w:val="005243EA"/>
    <w:rsid w:val="00525E55"/>
    <w:rsid w:val="005302EC"/>
    <w:rsid w:val="00530F3D"/>
    <w:rsid w:val="0053172E"/>
    <w:rsid w:val="00533C9A"/>
    <w:rsid w:val="00535377"/>
    <w:rsid w:val="00536DCD"/>
    <w:rsid w:val="00537258"/>
    <w:rsid w:val="00537687"/>
    <w:rsid w:val="0053791D"/>
    <w:rsid w:val="005411FA"/>
    <w:rsid w:val="005417C9"/>
    <w:rsid w:val="00543D19"/>
    <w:rsid w:val="00547720"/>
    <w:rsid w:val="0055026F"/>
    <w:rsid w:val="005509A8"/>
    <w:rsid w:val="0055275C"/>
    <w:rsid w:val="00553171"/>
    <w:rsid w:val="0056285F"/>
    <w:rsid w:val="00564317"/>
    <w:rsid w:val="0056515C"/>
    <w:rsid w:val="00565DC7"/>
    <w:rsid w:val="00566296"/>
    <w:rsid w:val="00566916"/>
    <w:rsid w:val="005710CD"/>
    <w:rsid w:val="00575273"/>
    <w:rsid w:val="00577719"/>
    <w:rsid w:val="00580091"/>
    <w:rsid w:val="0058264B"/>
    <w:rsid w:val="00582822"/>
    <w:rsid w:val="0059197C"/>
    <w:rsid w:val="00596989"/>
    <w:rsid w:val="00596E88"/>
    <w:rsid w:val="00597C1B"/>
    <w:rsid w:val="005A68AA"/>
    <w:rsid w:val="005B6102"/>
    <w:rsid w:val="005C01AB"/>
    <w:rsid w:val="005C0B60"/>
    <w:rsid w:val="005C482C"/>
    <w:rsid w:val="005D3271"/>
    <w:rsid w:val="005D5A7F"/>
    <w:rsid w:val="005D6B49"/>
    <w:rsid w:val="005E1971"/>
    <w:rsid w:val="005E490A"/>
    <w:rsid w:val="005E5237"/>
    <w:rsid w:val="005F0199"/>
    <w:rsid w:val="005F63AD"/>
    <w:rsid w:val="005F7538"/>
    <w:rsid w:val="006016F7"/>
    <w:rsid w:val="006024B5"/>
    <w:rsid w:val="0060708E"/>
    <w:rsid w:val="006100C2"/>
    <w:rsid w:val="006105AE"/>
    <w:rsid w:val="006124C2"/>
    <w:rsid w:val="00615714"/>
    <w:rsid w:val="006178C4"/>
    <w:rsid w:val="00622A77"/>
    <w:rsid w:val="006244CD"/>
    <w:rsid w:val="00624B00"/>
    <w:rsid w:val="00630921"/>
    <w:rsid w:val="00631655"/>
    <w:rsid w:val="006351FB"/>
    <w:rsid w:val="00635260"/>
    <w:rsid w:val="00635765"/>
    <w:rsid w:val="00635ED1"/>
    <w:rsid w:val="006438DB"/>
    <w:rsid w:val="00647B94"/>
    <w:rsid w:val="00650394"/>
    <w:rsid w:val="00651DA8"/>
    <w:rsid w:val="006541C8"/>
    <w:rsid w:val="00655CFB"/>
    <w:rsid w:val="006570BE"/>
    <w:rsid w:val="00657494"/>
    <w:rsid w:val="006575EE"/>
    <w:rsid w:val="00660BAE"/>
    <w:rsid w:val="006615CD"/>
    <w:rsid w:val="00662C26"/>
    <w:rsid w:val="00662D61"/>
    <w:rsid w:val="00666736"/>
    <w:rsid w:val="00666C54"/>
    <w:rsid w:val="00670CEB"/>
    <w:rsid w:val="0067118C"/>
    <w:rsid w:val="00671DEC"/>
    <w:rsid w:val="00675657"/>
    <w:rsid w:val="0068116A"/>
    <w:rsid w:val="00685A0D"/>
    <w:rsid w:val="006860BF"/>
    <w:rsid w:val="00687C84"/>
    <w:rsid w:val="00691EE7"/>
    <w:rsid w:val="0069315A"/>
    <w:rsid w:val="00697CD0"/>
    <w:rsid w:val="006A0444"/>
    <w:rsid w:val="006A0DAD"/>
    <w:rsid w:val="006A2237"/>
    <w:rsid w:val="006A2C82"/>
    <w:rsid w:val="006A4382"/>
    <w:rsid w:val="006A50AF"/>
    <w:rsid w:val="006A55E4"/>
    <w:rsid w:val="006A7A47"/>
    <w:rsid w:val="006B19C6"/>
    <w:rsid w:val="006B5521"/>
    <w:rsid w:val="006B5CE1"/>
    <w:rsid w:val="006B5F2A"/>
    <w:rsid w:val="006C2034"/>
    <w:rsid w:val="006C441E"/>
    <w:rsid w:val="006C627A"/>
    <w:rsid w:val="006D103F"/>
    <w:rsid w:val="006D2E8E"/>
    <w:rsid w:val="006D338C"/>
    <w:rsid w:val="006D36C6"/>
    <w:rsid w:val="006D42F3"/>
    <w:rsid w:val="006E0D1A"/>
    <w:rsid w:val="006E427F"/>
    <w:rsid w:val="006E5356"/>
    <w:rsid w:val="006F1119"/>
    <w:rsid w:val="006F15D4"/>
    <w:rsid w:val="006F3B68"/>
    <w:rsid w:val="00703257"/>
    <w:rsid w:val="00704397"/>
    <w:rsid w:val="0070465F"/>
    <w:rsid w:val="00704C95"/>
    <w:rsid w:val="00715107"/>
    <w:rsid w:val="007200FA"/>
    <w:rsid w:val="00722D7B"/>
    <w:rsid w:val="00726A6E"/>
    <w:rsid w:val="007306EC"/>
    <w:rsid w:val="00730DF4"/>
    <w:rsid w:val="00731ECF"/>
    <w:rsid w:val="00733900"/>
    <w:rsid w:val="007370C1"/>
    <w:rsid w:val="0074026E"/>
    <w:rsid w:val="007455C8"/>
    <w:rsid w:val="0074596F"/>
    <w:rsid w:val="007459EB"/>
    <w:rsid w:val="00752D6D"/>
    <w:rsid w:val="0075361F"/>
    <w:rsid w:val="0075371E"/>
    <w:rsid w:val="007541FD"/>
    <w:rsid w:val="00754B34"/>
    <w:rsid w:val="00755660"/>
    <w:rsid w:val="00756F86"/>
    <w:rsid w:val="007570B7"/>
    <w:rsid w:val="0076078D"/>
    <w:rsid w:val="00763D73"/>
    <w:rsid w:val="0076448A"/>
    <w:rsid w:val="00770544"/>
    <w:rsid w:val="00776028"/>
    <w:rsid w:val="0078059E"/>
    <w:rsid w:val="007813C3"/>
    <w:rsid w:val="00781CA5"/>
    <w:rsid w:val="00781DD3"/>
    <w:rsid w:val="0078330D"/>
    <w:rsid w:val="00783620"/>
    <w:rsid w:val="007860DC"/>
    <w:rsid w:val="0079453A"/>
    <w:rsid w:val="00795554"/>
    <w:rsid w:val="007A027C"/>
    <w:rsid w:val="007A4617"/>
    <w:rsid w:val="007A4699"/>
    <w:rsid w:val="007B5DBE"/>
    <w:rsid w:val="007B6616"/>
    <w:rsid w:val="007B7F48"/>
    <w:rsid w:val="007C14FC"/>
    <w:rsid w:val="007C52A5"/>
    <w:rsid w:val="007C5752"/>
    <w:rsid w:val="007C6067"/>
    <w:rsid w:val="007C60D3"/>
    <w:rsid w:val="007D0339"/>
    <w:rsid w:val="007D391E"/>
    <w:rsid w:val="007D3D95"/>
    <w:rsid w:val="007D6945"/>
    <w:rsid w:val="007E0BFE"/>
    <w:rsid w:val="007E17DF"/>
    <w:rsid w:val="007E1E97"/>
    <w:rsid w:val="007E2110"/>
    <w:rsid w:val="007E3DFB"/>
    <w:rsid w:val="007E6E4F"/>
    <w:rsid w:val="007E72C0"/>
    <w:rsid w:val="007F4325"/>
    <w:rsid w:val="007F4335"/>
    <w:rsid w:val="007F5D92"/>
    <w:rsid w:val="007F68DC"/>
    <w:rsid w:val="007F6C79"/>
    <w:rsid w:val="007F790B"/>
    <w:rsid w:val="00800CC7"/>
    <w:rsid w:val="0080193A"/>
    <w:rsid w:val="00803188"/>
    <w:rsid w:val="008043ED"/>
    <w:rsid w:val="00810C23"/>
    <w:rsid w:val="008137FD"/>
    <w:rsid w:val="00814DB1"/>
    <w:rsid w:val="008152A4"/>
    <w:rsid w:val="00815ADA"/>
    <w:rsid w:val="00816078"/>
    <w:rsid w:val="00822012"/>
    <w:rsid w:val="00826890"/>
    <w:rsid w:val="00832156"/>
    <w:rsid w:val="00842A4F"/>
    <w:rsid w:val="00843C90"/>
    <w:rsid w:val="00844E36"/>
    <w:rsid w:val="00846464"/>
    <w:rsid w:val="00852B5F"/>
    <w:rsid w:val="008530DC"/>
    <w:rsid w:val="00853B61"/>
    <w:rsid w:val="00853F85"/>
    <w:rsid w:val="008618A9"/>
    <w:rsid w:val="00862848"/>
    <w:rsid w:val="00863B5F"/>
    <w:rsid w:val="008673E1"/>
    <w:rsid w:val="0087327E"/>
    <w:rsid w:val="008769C9"/>
    <w:rsid w:val="00876E80"/>
    <w:rsid w:val="00883F1C"/>
    <w:rsid w:val="00884EA9"/>
    <w:rsid w:val="00885008"/>
    <w:rsid w:val="0088643F"/>
    <w:rsid w:val="00887405"/>
    <w:rsid w:val="00892DFD"/>
    <w:rsid w:val="008949D6"/>
    <w:rsid w:val="00895A0C"/>
    <w:rsid w:val="00895CD5"/>
    <w:rsid w:val="00896B17"/>
    <w:rsid w:val="00897399"/>
    <w:rsid w:val="008A3C23"/>
    <w:rsid w:val="008A3FC2"/>
    <w:rsid w:val="008B1737"/>
    <w:rsid w:val="008C2366"/>
    <w:rsid w:val="008D2668"/>
    <w:rsid w:val="008D2EF0"/>
    <w:rsid w:val="008D3F76"/>
    <w:rsid w:val="008D6B73"/>
    <w:rsid w:val="008E0750"/>
    <w:rsid w:val="008E0DF9"/>
    <w:rsid w:val="008E3320"/>
    <w:rsid w:val="008E3AC6"/>
    <w:rsid w:val="008E4DEF"/>
    <w:rsid w:val="008E5CE8"/>
    <w:rsid w:val="008E64A3"/>
    <w:rsid w:val="008E7043"/>
    <w:rsid w:val="008F2236"/>
    <w:rsid w:val="008F2D59"/>
    <w:rsid w:val="008F73C4"/>
    <w:rsid w:val="00901649"/>
    <w:rsid w:val="009022F0"/>
    <w:rsid w:val="00902C64"/>
    <w:rsid w:val="00904CF1"/>
    <w:rsid w:val="009053A7"/>
    <w:rsid w:val="00910DB5"/>
    <w:rsid w:val="009139A5"/>
    <w:rsid w:val="00913B95"/>
    <w:rsid w:val="00922B35"/>
    <w:rsid w:val="00934C0E"/>
    <w:rsid w:val="00937415"/>
    <w:rsid w:val="00943475"/>
    <w:rsid w:val="00943806"/>
    <w:rsid w:val="009447C4"/>
    <w:rsid w:val="00946A5D"/>
    <w:rsid w:val="00951D1C"/>
    <w:rsid w:val="00952AFD"/>
    <w:rsid w:val="00953D1C"/>
    <w:rsid w:val="00954F69"/>
    <w:rsid w:val="00955C14"/>
    <w:rsid w:val="00955F71"/>
    <w:rsid w:val="00965452"/>
    <w:rsid w:val="00965B85"/>
    <w:rsid w:val="009665ED"/>
    <w:rsid w:val="00975E42"/>
    <w:rsid w:val="0098439E"/>
    <w:rsid w:val="009860EE"/>
    <w:rsid w:val="009862EF"/>
    <w:rsid w:val="009939B8"/>
    <w:rsid w:val="00997366"/>
    <w:rsid w:val="009A1A74"/>
    <w:rsid w:val="009A3211"/>
    <w:rsid w:val="009A76BB"/>
    <w:rsid w:val="009B5789"/>
    <w:rsid w:val="009B6F48"/>
    <w:rsid w:val="009C75BD"/>
    <w:rsid w:val="009D0411"/>
    <w:rsid w:val="009D0916"/>
    <w:rsid w:val="009D1010"/>
    <w:rsid w:val="009D279E"/>
    <w:rsid w:val="009D4640"/>
    <w:rsid w:val="009D7EA4"/>
    <w:rsid w:val="009E0E1A"/>
    <w:rsid w:val="009E1887"/>
    <w:rsid w:val="009E48E0"/>
    <w:rsid w:val="009F2C00"/>
    <w:rsid w:val="009F2F4D"/>
    <w:rsid w:val="009F405A"/>
    <w:rsid w:val="009F73D3"/>
    <w:rsid w:val="00A0154E"/>
    <w:rsid w:val="00A045A4"/>
    <w:rsid w:val="00A10055"/>
    <w:rsid w:val="00A153C0"/>
    <w:rsid w:val="00A16A0B"/>
    <w:rsid w:val="00A2045A"/>
    <w:rsid w:val="00A21D58"/>
    <w:rsid w:val="00A416BC"/>
    <w:rsid w:val="00A4278C"/>
    <w:rsid w:val="00A42F94"/>
    <w:rsid w:val="00A4333A"/>
    <w:rsid w:val="00A45E13"/>
    <w:rsid w:val="00A461BA"/>
    <w:rsid w:val="00A46BD4"/>
    <w:rsid w:val="00A5195F"/>
    <w:rsid w:val="00A542D4"/>
    <w:rsid w:val="00A64B2A"/>
    <w:rsid w:val="00A813E6"/>
    <w:rsid w:val="00A8189F"/>
    <w:rsid w:val="00A85687"/>
    <w:rsid w:val="00A8628E"/>
    <w:rsid w:val="00A87464"/>
    <w:rsid w:val="00A90990"/>
    <w:rsid w:val="00A94970"/>
    <w:rsid w:val="00A95170"/>
    <w:rsid w:val="00A963F1"/>
    <w:rsid w:val="00AA0B7C"/>
    <w:rsid w:val="00AA1866"/>
    <w:rsid w:val="00AA2D14"/>
    <w:rsid w:val="00AA516C"/>
    <w:rsid w:val="00AA70B3"/>
    <w:rsid w:val="00AA75E1"/>
    <w:rsid w:val="00AB2353"/>
    <w:rsid w:val="00AB3D1A"/>
    <w:rsid w:val="00AB661E"/>
    <w:rsid w:val="00AB761B"/>
    <w:rsid w:val="00AB7C11"/>
    <w:rsid w:val="00AC1ED1"/>
    <w:rsid w:val="00AC20D6"/>
    <w:rsid w:val="00AD36C2"/>
    <w:rsid w:val="00AD3B95"/>
    <w:rsid w:val="00AD5AE7"/>
    <w:rsid w:val="00AE1B4E"/>
    <w:rsid w:val="00AE399E"/>
    <w:rsid w:val="00AE3FE0"/>
    <w:rsid w:val="00AF525D"/>
    <w:rsid w:val="00AF6218"/>
    <w:rsid w:val="00B01E70"/>
    <w:rsid w:val="00B07133"/>
    <w:rsid w:val="00B074D2"/>
    <w:rsid w:val="00B16A23"/>
    <w:rsid w:val="00B2049F"/>
    <w:rsid w:val="00B323B3"/>
    <w:rsid w:val="00B32C7B"/>
    <w:rsid w:val="00B33314"/>
    <w:rsid w:val="00B35384"/>
    <w:rsid w:val="00B359C9"/>
    <w:rsid w:val="00B37035"/>
    <w:rsid w:val="00B4017A"/>
    <w:rsid w:val="00B40973"/>
    <w:rsid w:val="00B46CE8"/>
    <w:rsid w:val="00B50BB8"/>
    <w:rsid w:val="00B52D6F"/>
    <w:rsid w:val="00B616F0"/>
    <w:rsid w:val="00B637F8"/>
    <w:rsid w:val="00B65711"/>
    <w:rsid w:val="00B67542"/>
    <w:rsid w:val="00B72B13"/>
    <w:rsid w:val="00B75445"/>
    <w:rsid w:val="00B758F8"/>
    <w:rsid w:val="00B769B3"/>
    <w:rsid w:val="00B770BC"/>
    <w:rsid w:val="00B77E0F"/>
    <w:rsid w:val="00B8296F"/>
    <w:rsid w:val="00B857D7"/>
    <w:rsid w:val="00B87411"/>
    <w:rsid w:val="00B87F2C"/>
    <w:rsid w:val="00B87FC3"/>
    <w:rsid w:val="00B9063A"/>
    <w:rsid w:val="00B90CBE"/>
    <w:rsid w:val="00B90E8B"/>
    <w:rsid w:val="00B93177"/>
    <w:rsid w:val="00B9363C"/>
    <w:rsid w:val="00B9419D"/>
    <w:rsid w:val="00B94D9E"/>
    <w:rsid w:val="00BA010F"/>
    <w:rsid w:val="00BA479D"/>
    <w:rsid w:val="00BA6F42"/>
    <w:rsid w:val="00BB0325"/>
    <w:rsid w:val="00BB1474"/>
    <w:rsid w:val="00BB3D1A"/>
    <w:rsid w:val="00BB42AD"/>
    <w:rsid w:val="00BB4A25"/>
    <w:rsid w:val="00BB62E1"/>
    <w:rsid w:val="00BB6B80"/>
    <w:rsid w:val="00BB761B"/>
    <w:rsid w:val="00BC01B7"/>
    <w:rsid w:val="00BC3FEF"/>
    <w:rsid w:val="00BC63DF"/>
    <w:rsid w:val="00BC678D"/>
    <w:rsid w:val="00BC67A9"/>
    <w:rsid w:val="00BC7113"/>
    <w:rsid w:val="00BD057E"/>
    <w:rsid w:val="00BD0966"/>
    <w:rsid w:val="00BD483F"/>
    <w:rsid w:val="00BD4C84"/>
    <w:rsid w:val="00BD55C4"/>
    <w:rsid w:val="00BD5E2B"/>
    <w:rsid w:val="00BD62A1"/>
    <w:rsid w:val="00BE00D1"/>
    <w:rsid w:val="00BE1097"/>
    <w:rsid w:val="00BE1CDE"/>
    <w:rsid w:val="00BE28A2"/>
    <w:rsid w:val="00BF1F37"/>
    <w:rsid w:val="00BF1F52"/>
    <w:rsid w:val="00BF750C"/>
    <w:rsid w:val="00BF7CDF"/>
    <w:rsid w:val="00BF7D08"/>
    <w:rsid w:val="00C005A6"/>
    <w:rsid w:val="00C0404E"/>
    <w:rsid w:val="00C0632D"/>
    <w:rsid w:val="00C10393"/>
    <w:rsid w:val="00C10D33"/>
    <w:rsid w:val="00C10DC2"/>
    <w:rsid w:val="00C114A6"/>
    <w:rsid w:val="00C12BBF"/>
    <w:rsid w:val="00C14D26"/>
    <w:rsid w:val="00C15367"/>
    <w:rsid w:val="00C165BE"/>
    <w:rsid w:val="00C16E68"/>
    <w:rsid w:val="00C20577"/>
    <w:rsid w:val="00C209D0"/>
    <w:rsid w:val="00C265AF"/>
    <w:rsid w:val="00C3103C"/>
    <w:rsid w:val="00C33DCE"/>
    <w:rsid w:val="00C3649D"/>
    <w:rsid w:val="00C3759E"/>
    <w:rsid w:val="00C37E68"/>
    <w:rsid w:val="00C4020A"/>
    <w:rsid w:val="00C417FB"/>
    <w:rsid w:val="00C42099"/>
    <w:rsid w:val="00C43A07"/>
    <w:rsid w:val="00C46690"/>
    <w:rsid w:val="00C50BB6"/>
    <w:rsid w:val="00C5122F"/>
    <w:rsid w:val="00C52860"/>
    <w:rsid w:val="00C5386E"/>
    <w:rsid w:val="00C55936"/>
    <w:rsid w:val="00C55B06"/>
    <w:rsid w:val="00C64CFE"/>
    <w:rsid w:val="00C7066F"/>
    <w:rsid w:val="00C71D09"/>
    <w:rsid w:val="00C7257D"/>
    <w:rsid w:val="00C763A6"/>
    <w:rsid w:val="00C81A29"/>
    <w:rsid w:val="00C832C3"/>
    <w:rsid w:val="00C90815"/>
    <w:rsid w:val="00C953FD"/>
    <w:rsid w:val="00CA2A80"/>
    <w:rsid w:val="00CA49C2"/>
    <w:rsid w:val="00CA5E82"/>
    <w:rsid w:val="00CB050D"/>
    <w:rsid w:val="00CB06B6"/>
    <w:rsid w:val="00CB1DCA"/>
    <w:rsid w:val="00CB50CC"/>
    <w:rsid w:val="00CB5EB8"/>
    <w:rsid w:val="00CC07F0"/>
    <w:rsid w:val="00CC3886"/>
    <w:rsid w:val="00CC5AA7"/>
    <w:rsid w:val="00CC60A4"/>
    <w:rsid w:val="00CD362F"/>
    <w:rsid w:val="00CD40AC"/>
    <w:rsid w:val="00CD727F"/>
    <w:rsid w:val="00CE5926"/>
    <w:rsid w:val="00CE5B1F"/>
    <w:rsid w:val="00CE6D12"/>
    <w:rsid w:val="00CE7C05"/>
    <w:rsid w:val="00CF2062"/>
    <w:rsid w:val="00CF3777"/>
    <w:rsid w:val="00CF3D23"/>
    <w:rsid w:val="00CF45EE"/>
    <w:rsid w:val="00CF51B4"/>
    <w:rsid w:val="00CF76D2"/>
    <w:rsid w:val="00D02211"/>
    <w:rsid w:val="00D0260F"/>
    <w:rsid w:val="00D07241"/>
    <w:rsid w:val="00D10ED3"/>
    <w:rsid w:val="00D1225B"/>
    <w:rsid w:val="00D13F46"/>
    <w:rsid w:val="00D1776B"/>
    <w:rsid w:val="00D20171"/>
    <w:rsid w:val="00D236F9"/>
    <w:rsid w:val="00D2685C"/>
    <w:rsid w:val="00D27BEF"/>
    <w:rsid w:val="00D37D86"/>
    <w:rsid w:val="00D400EA"/>
    <w:rsid w:val="00D42B79"/>
    <w:rsid w:val="00D45CD6"/>
    <w:rsid w:val="00D46196"/>
    <w:rsid w:val="00D47AB8"/>
    <w:rsid w:val="00D549B5"/>
    <w:rsid w:val="00D560A8"/>
    <w:rsid w:val="00D60F5E"/>
    <w:rsid w:val="00D616E0"/>
    <w:rsid w:val="00D624C8"/>
    <w:rsid w:val="00D6427A"/>
    <w:rsid w:val="00D6549A"/>
    <w:rsid w:val="00D66BDC"/>
    <w:rsid w:val="00D679F6"/>
    <w:rsid w:val="00D700B5"/>
    <w:rsid w:val="00D71719"/>
    <w:rsid w:val="00D719D0"/>
    <w:rsid w:val="00D7372C"/>
    <w:rsid w:val="00D740C1"/>
    <w:rsid w:val="00D75893"/>
    <w:rsid w:val="00D76FE7"/>
    <w:rsid w:val="00D80F32"/>
    <w:rsid w:val="00D825A8"/>
    <w:rsid w:val="00D8345E"/>
    <w:rsid w:val="00D86D71"/>
    <w:rsid w:val="00D87163"/>
    <w:rsid w:val="00D90F6D"/>
    <w:rsid w:val="00D92263"/>
    <w:rsid w:val="00D93ACA"/>
    <w:rsid w:val="00D9578F"/>
    <w:rsid w:val="00DA3E7E"/>
    <w:rsid w:val="00DB1D17"/>
    <w:rsid w:val="00DB2C5D"/>
    <w:rsid w:val="00DB55DB"/>
    <w:rsid w:val="00DB704E"/>
    <w:rsid w:val="00DC048A"/>
    <w:rsid w:val="00DC2C85"/>
    <w:rsid w:val="00DC3C2E"/>
    <w:rsid w:val="00DC4A01"/>
    <w:rsid w:val="00DC6B25"/>
    <w:rsid w:val="00DC7060"/>
    <w:rsid w:val="00DD10A1"/>
    <w:rsid w:val="00DD1927"/>
    <w:rsid w:val="00DD5314"/>
    <w:rsid w:val="00DD6EB5"/>
    <w:rsid w:val="00DE145D"/>
    <w:rsid w:val="00DE1465"/>
    <w:rsid w:val="00DE164A"/>
    <w:rsid w:val="00DE1FAB"/>
    <w:rsid w:val="00DE633E"/>
    <w:rsid w:val="00DE7979"/>
    <w:rsid w:val="00DF2D06"/>
    <w:rsid w:val="00DF355A"/>
    <w:rsid w:val="00DF5334"/>
    <w:rsid w:val="00DF7AC8"/>
    <w:rsid w:val="00E04912"/>
    <w:rsid w:val="00E05578"/>
    <w:rsid w:val="00E05586"/>
    <w:rsid w:val="00E056DA"/>
    <w:rsid w:val="00E05B24"/>
    <w:rsid w:val="00E06091"/>
    <w:rsid w:val="00E06235"/>
    <w:rsid w:val="00E11F8B"/>
    <w:rsid w:val="00E14755"/>
    <w:rsid w:val="00E17193"/>
    <w:rsid w:val="00E17C24"/>
    <w:rsid w:val="00E22BF1"/>
    <w:rsid w:val="00E24C6B"/>
    <w:rsid w:val="00E25F90"/>
    <w:rsid w:val="00E26EC9"/>
    <w:rsid w:val="00E279AF"/>
    <w:rsid w:val="00E3491F"/>
    <w:rsid w:val="00E40229"/>
    <w:rsid w:val="00E4028B"/>
    <w:rsid w:val="00E410E4"/>
    <w:rsid w:val="00E43C3F"/>
    <w:rsid w:val="00E45CB2"/>
    <w:rsid w:val="00E45EB8"/>
    <w:rsid w:val="00E479AA"/>
    <w:rsid w:val="00E53436"/>
    <w:rsid w:val="00E57EA0"/>
    <w:rsid w:val="00E605A2"/>
    <w:rsid w:val="00E7266D"/>
    <w:rsid w:val="00E77147"/>
    <w:rsid w:val="00E81BFF"/>
    <w:rsid w:val="00E826BD"/>
    <w:rsid w:val="00E87554"/>
    <w:rsid w:val="00E92F06"/>
    <w:rsid w:val="00E96169"/>
    <w:rsid w:val="00EA05D9"/>
    <w:rsid w:val="00EA26E7"/>
    <w:rsid w:val="00EA6B5F"/>
    <w:rsid w:val="00EA780E"/>
    <w:rsid w:val="00EA7E74"/>
    <w:rsid w:val="00EB6211"/>
    <w:rsid w:val="00EC1891"/>
    <w:rsid w:val="00EC2EE3"/>
    <w:rsid w:val="00EC62CF"/>
    <w:rsid w:val="00EC63D8"/>
    <w:rsid w:val="00EC72CB"/>
    <w:rsid w:val="00EE0794"/>
    <w:rsid w:val="00EE0800"/>
    <w:rsid w:val="00EE3D42"/>
    <w:rsid w:val="00EE5125"/>
    <w:rsid w:val="00EE760E"/>
    <w:rsid w:val="00EF05EE"/>
    <w:rsid w:val="00EF15F1"/>
    <w:rsid w:val="00EF70FA"/>
    <w:rsid w:val="00F02A94"/>
    <w:rsid w:val="00F02BC1"/>
    <w:rsid w:val="00F03CD6"/>
    <w:rsid w:val="00F069CA"/>
    <w:rsid w:val="00F134C1"/>
    <w:rsid w:val="00F15138"/>
    <w:rsid w:val="00F169C1"/>
    <w:rsid w:val="00F172B6"/>
    <w:rsid w:val="00F17462"/>
    <w:rsid w:val="00F22C6E"/>
    <w:rsid w:val="00F23E94"/>
    <w:rsid w:val="00F24A92"/>
    <w:rsid w:val="00F25E4D"/>
    <w:rsid w:val="00F269D3"/>
    <w:rsid w:val="00F26D34"/>
    <w:rsid w:val="00F302D6"/>
    <w:rsid w:val="00F3209F"/>
    <w:rsid w:val="00F3455D"/>
    <w:rsid w:val="00F37654"/>
    <w:rsid w:val="00F403B7"/>
    <w:rsid w:val="00F40AAE"/>
    <w:rsid w:val="00F4779D"/>
    <w:rsid w:val="00F501BE"/>
    <w:rsid w:val="00F50676"/>
    <w:rsid w:val="00F51227"/>
    <w:rsid w:val="00F51509"/>
    <w:rsid w:val="00F51DE2"/>
    <w:rsid w:val="00F53107"/>
    <w:rsid w:val="00F531C1"/>
    <w:rsid w:val="00F562C1"/>
    <w:rsid w:val="00F56852"/>
    <w:rsid w:val="00F60562"/>
    <w:rsid w:val="00F60D47"/>
    <w:rsid w:val="00F659C5"/>
    <w:rsid w:val="00F713B7"/>
    <w:rsid w:val="00F72013"/>
    <w:rsid w:val="00F72691"/>
    <w:rsid w:val="00F768C9"/>
    <w:rsid w:val="00F770DE"/>
    <w:rsid w:val="00F8531D"/>
    <w:rsid w:val="00F95DD2"/>
    <w:rsid w:val="00FA5CBE"/>
    <w:rsid w:val="00FB01F3"/>
    <w:rsid w:val="00FB05A5"/>
    <w:rsid w:val="00FB1EAD"/>
    <w:rsid w:val="00FB25C0"/>
    <w:rsid w:val="00FB2B25"/>
    <w:rsid w:val="00FB7A23"/>
    <w:rsid w:val="00FC0630"/>
    <w:rsid w:val="00FC2B51"/>
    <w:rsid w:val="00FC303E"/>
    <w:rsid w:val="00FC4007"/>
    <w:rsid w:val="00FC4AAC"/>
    <w:rsid w:val="00FD5B16"/>
    <w:rsid w:val="00FE09EE"/>
    <w:rsid w:val="00FE2AA2"/>
    <w:rsid w:val="00FE5C27"/>
    <w:rsid w:val="00FF6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688EAB9"/>
  <w15:chartTrackingRefBased/>
  <w15:docId w15:val="{49C749AD-20C3-447A-8CE1-5D4F0739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D47"/>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70465F"/>
    <w:pPr>
      <w:ind w:left="850"/>
      <w:outlineLvl w:val="0"/>
    </w:pPr>
    <w:rPr>
      <w:b/>
      <w:bCs/>
      <w:sz w:val="32"/>
      <w:szCs w:val="32"/>
      <w:u w:val="single" w:color="000000"/>
    </w:rPr>
  </w:style>
  <w:style w:type="paragraph" w:styleId="Heading2">
    <w:name w:val="heading 2"/>
    <w:basedOn w:val="Normal"/>
    <w:next w:val="Normal"/>
    <w:link w:val="Heading2Char"/>
    <w:uiPriority w:val="9"/>
    <w:semiHidden/>
    <w:unhideWhenUsed/>
    <w:qFormat/>
    <w:rsid w:val="00F768C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65F"/>
    <w:rPr>
      <w:rFonts w:ascii="Arial" w:eastAsia="Arial" w:hAnsi="Arial" w:cs="Arial"/>
      <w:b/>
      <w:bCs/>
      <w:sz w:val="32"/>
      <w:szCs w:val="32"/>
      <w:u w:val="single" w:color="000000"/>
    </w:rPr>
  </w:style>
  <w:style w:type="paragraph" w:styleId="BodyText">
    <w:name w:val="Body Text"/>
    <w:basedOn w:val="Normal"/>
    <w:link w:val="BodyTextChar"/>
    <w:uiPriority w:val="1"/>
    <w:qFormat/>
    <w:rsid w:val="0070465F"/>
    <w:rPr>
      <w:sz w:val="24"/>
      <w:szCs w:val="24"/>
    </w:rPr>
  </w:style>
  <w:style w:type="character" w:customStyle="1" w:styleId="BodyTextChar">
    <w:name w:val="Body Text Char"/>
    <w:basedOn w:val="DefaultParagraphFont"/>
    <w:link w:val="BodyText"/>
    <w:uiPriority w:val="99"/>
    <w:rsid w:val="0070465F"/>
    <w:rPr>
      <w:rFonts w:ascii="Arial" w:eastAsia="Arial" w:hAnsi="Arial" w:cs="Arial"/>
      <w:sz w:val="24"/>
      <w:szCs w:val="24"/>
    </w:rPr>
  </w:style>
  <w:style w:type="paragraph" w:styleId="ListParagraph">
    <w:name w:val="List Paragraph"/>
    <w:basedOn w:val="Normal"/>
    <w:link w:val="ListParagraphChar"/>
    <w:uiPriority w:val="1"/>
    <w:qFormat/>
    <w:rsid w:val="0070465F"/>
    <w:pPr>
      <w:ind w:left="540" w:right="115" w:hanging="428"/>
      <w:jc w:val="both"/>
    </w:pPr>
  </w:style>
  <w:style w:type="character" w:customStyle="1" w:styleId="ListParagraphChar">
    <w:name w:val="List Paragraph Char"/>
    <w:link w:val="ListParagraph"/>
    <w:uiPriority w:val="34"/>
    <w:locked/>
    <w:rsid w:val="0070465F"/>
    <w:rPr>
      <w:rFonts w:ascii="Arial" w:eastAsia="Arial" w:hAnsi="Arial" w:cs="Arial"/>
    </w:rPr>
  </w:style>
  <w:style w:type="table" w:customStyle="1" w:styleId="TableGrid1">
    <w:name w:val="Table Grid1"/>
    <w:basedOn w:val="TableNormal"/>
    <w:next w:val="TableGrid"/>
    <w:rsid w:val="003A2A1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A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2A1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1474"/>
    <w:pPr>
      <w:tabs>
        <w:tab w:val="center" w:pos="4513"/>
        <w:tab w:val="right" w:pos="9026"/>
      </w:tabs>
    </w:pPr>
  </w:style>
  <w:style w:type="character" w:customStyle="1" w:styleId="HeaderChar">
    <w:name w:val="Header Char"/>
    <w:basedOn w:val="DefaultParagraphFont"/>
    <w:link w:val="Header"/>
    <w:uiPriority w:val="99"/>
    <w:rsid w:val="00BB1474"/>
    <w:rPr>
      <w:rFonts w:ascii="Arial" w:eastAsia="Arial" w:hAnsi="Arial" w:cs="Arial"/>
    </w:rPr>
  </w:style>
  <w:style w:type="paragraph" w:styleId="Footer">
    <w:name w:val="footer"/>
    <w:basedOn w:val="Normal"/>
    <w:link w:val="FooterChar"/>
    <w:uiPriority w:val="99"/>
    <w:unhideWhenUsed/>
    <w:rsid w:val="00BB1474"/>
    <w:pPr>
      <w:tabs>
        <w:tab w:val="center" w:pos="4513"/>
        <w:tab w:val="right" w:pos="9026"/>
      </w:tabs>
    </w:pPr>
  </w:style>
  <w:style w:type="character" w:customStyle="1" w:styleId="FooterChar">
    <w:name w:val="Footer Char"/>
    <w:basedOn w:val="DefaultParagraphFont"/>
    <w:link w:val="Footer"/>
    <w:uiPriority w:val="99"/>
    <w:rsid w:val="00BB1474"/>
    <w:rPr>
      <w:rFonts w:ascii="Arial" w:eastAsia="Arial" w:hAnsi="Arial" w:cs="Arial"/>
    </w:rPr>
  </w:style>
  <w:style w:type="paragraph" w:customStyle="1" w:styleId="TableParagraph">
    <w:name w:val="Table Paragraph"/>
    <w:basedOn w:val="Normal"/>
    <w:uiPriority w:val="1"/>
    <w:qFormat/>
    <w:rsid w:val="004B602C"/>
    <w:rPr>
      <w:rFonts w:ascii="Calibri" w:eastAsia="Calibri" w:hAnsi="Calibri" w:cs="Calibri"/>
    </w:rPr>
  </w:style>
  <w:style w:type="character" w:styleId="CommentReference">
    <w:name w:val="annotation reference"/>
    <w:basedOn w:val="DefaultParagraphFont"/>
    <w:uiPriority w:val="99"/>
    <w:semiHidden/>
    <w:unhideWhenUsed/>
    <w:rsid w:val="00535377"/>
    <w:rPr>
      <w:sz w:val="16"/>
      <w:szCs w:val="16"/>
    </w:rPr>
  </w:style>
  <w:style w:type="paragraph" w:styleId="CommentText">
    <w:name w:val="annotation text"/>
    <w:basedOn w:val="Normal"/>
    <w:link w:val="CommentTextChar"/>
    <w:uiPriority w:val="99"/>
    <w:unhideWhenUsed/>
    <w:rsid w:val="00535377"/>
    <w:rPr>
      <w:sz w:val="20"/>
      <w:szCs w:val="20"/>
    </w:rPr>
  </w:style>
  <w:style w:type="character" w:customStyle="1" w:styleId="CommentTextChar">
    <w:name w:val="Comment Text Char"/>
    <w:basedOn w:val="DefaultParagraphFont"/>
    <w:link w:val="CommentText"/>
    <w:uiPriority w:val="99"/>
    <w:rsid w:val="0053537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35377"/>
    <w:rPr>
      <w:b/>
      <w:bCs/>
    </w:rPr>
  </w:style>
  <w:style w:type="character" w:customStyle="1" w:styleId="CommentSubjectChar">
    <w:name w:val="Comment Subject Char"/>
    <w:basedOn w:val="CommentTextChar"/>
    <w:link w:val="CommentSubject"/>
    <w:uiPriority w:val="99"/>
    <w:semiHidden/>
    <w:rsid w:val="00535377"/>
    <w:rPr>
      <w:rFonts w:ascii="Arial" w:eastAsia="Arial" w:hAnsi="Arial" w:cs="Arial"/>
      <w:b/>
      <w:bCs/>
      <w:sz w:val="20"/>
      <w:szCs w:val="20"/>
    </w:rPr>
  </w:style>
  <w:style w:type="character" w:customStyle="1" w:styleId="Heading2Char">
    <w:name w:val="Heading 2 Char"/>
    <w:basedOn w:val="DefaultParagraphFont"/>
    <w:link w:val="Heading2"/>
    <w:uiPriority w:val="9"/>
    <w:semiHidden/>
    <w:rsid w:val="00F768C9"/>
    <w:rPr>
      <w:rFonts w:asciiTheme="majorHAnsi" w:eastAsiaTheme="majorEastAsia" w:hAnsiTheme="majorHAnsi" w:cstheme="majorBidi"/>
      <w:color w:val="2F5496" w:themeColor="accent1" w:themeShade="BF"/>
      <w:sz w:val="26"/>
      <w:szCs w:val="26"/>
    </w:rPr>
  </w:style>
  <w:style w:type="paragraph" w:customStyle="1" w:styleId="Default">
    <w:name w:val="Default"/>
    <w:rsid w:val="00F768C9"/>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8A3FC2"/>
    <w:pPr>
      <w:spacing w:after="0" w:line="240" w:lineRule="auto"/>
    </w:pPr>
    <w:rPr>
      <w:rFonts w:ascii="Arial" w:eastAsia="Arial" w:hAnsi="Arial" w:cs="Arial"/>
    </w:rPr>
  </w:style>
  <w:style w:type="table" w:customStyle="1" w:styleId="TableGrid21">
    <w:name w:val="Table Grid21"/>
    <w:basedOn w:val="TableNormal"/>
    <w:next w:val="TableGrid"/>
    <w:uiPriority w:val="59"/>
    <w:rsid w:val="00F531C1"/>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355F"/>
    <w:rPr>
      <w:color w:val="0563C1" w:themeColor="hyperlink"/>
      <w:u w:val="single"/>
    </w:rPr>
  </w:style>
  <w:style w:type="paragraph" w:styleId="NormalWeb">
    <w:name w:val="Normal (Web)"/>
    <w:basedOn w:val="Normal"/>
    <w:uiPriority w:val="99"/>
    <w:unhideWhenUsed/>
    <w:rsid w:val="0029215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215C"/>
    <w:rPr>
      <w:b/>
      <w:bCs/>
    </w:rPr>
  </w:style>
  <w:style w:type="paragraph" w:styleId="FootnoteText">
    <w:name w:val="footnote text"/>
    <w:basedOn w:val="Normal"/>
    <w:link w:val="FootnoteTextChar"/>
    <w:uiPriority w:val="99"/>
    <w:semiHidden/>
    <w:unhideWhenUsed/>
    <w:rsid w:val="00FC303E"/>
    <w:pPr>
      <w:autoSpaceDE/>
      <w:autoSpaceDN/>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FC303E"/>
    <w:rPr>
      <w:sz w:val="20"/>
      <w:szCs w:val="20"/>
      <w:lang w:val="en-US"/>
    </w:rPr>
  </w:style>
  <w:style w:type="character" w:styleId="FootnoteReference">
    <w:name w:val="footnote reference"/>
    <w:basedOn w:val="DefaultParagraphFont"/>
    <w:uiPriority w:val="99"/>
    <w:semiHidden/>
    <w:unhideWhenUsed/>
    <w:rsid w:val="00FC303E"/>
    <w:rPr>
      <w:vertAlign w:val="superscript"/>
    </w:rPr>
  </w:style>
  <w:style w:type="paragraph" w:styleId="NoSpacing">
    <w:name w:val="No Spacing"/>
    <w:uiPriority w:val="1"/>
    <w:qFormat/>
    <w:rsid w:val="00F134C1"/>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3439">
      <w:bodyDiv w:val="1"/>
      <w:marLeft w:val="0"/>
      <w:marRight w:val="0"/>
      <w:marTop w:val="0"/>
      <w:marBottom w:val="0"/>
      <w:divBdr>
        <w:top w:val="none" w:sz="0" w:space="0" w:color="auto"/>
        <w:left w:val="none" w:sz="0" w:space="0" w:color="auto"/>
        <w:bottom w:val="none" w:sz="0" w:space="0" w:color="auto"/>
        <w:right w:val="none" w:sz="0" w:space="0" w:color="auto"/>
      </w:divBdr>
    </w:div>
    <w:div w:id="52388290">
      <w:bodyDiv w:val="1"/>
      <w:marLeft w:val="0"/>
      <w:marRight w:val="0"/>
      <w:marTop w:val="0"/>
      <w:marBottom w:val="0"/>
      <w:divBdr>
        <w:top w:val="none" w:sz="0" w:space="0" w:color="auto"/>
        <w:left w:val="none" w:sz="0" w:space="0" w:color="auto"/>
        <w:bottom w:val="none" w:sz="0" w:space="0" w:color="auto"/>
        <w:right w:val="none" w:sz="0" w:space="0" w:color="auto"/>
      </w:divBdr>
    </w:div>
    <w:div w:id="93982065">
      <w:bodyDiv w:val="1"/>
      <w:marLeft w:val="0"/>
      <w:marRight w:val="0"/>
      <w:marTop w:val="0"/>
      <w:marBottom w:val="0"/>
      <w:divBdr>
        <w:top w:val="none" w:sz="0" w:space="0" w:color="auto"/>
        <w:left w:val="none" w:sz="0" w:space="0" w:color="auto"/>
        <w:bottom w:val="none" w:sz="0" w:space="0" w:color="auto"/>
        <w:right w:val="none" w:sz="0" w:space="0" w:color="auto"/>
      </w:divBdr>
    </w:div>
    <w:div w:id="122697513">
      <w:bodyDiv w:val="1"/>
      <w:marLeft w:val="0"/>
      <w:marRight w:val="0"/>
      <w:marTop w:val="0"/>
      <w:marBottom w:val="0"/>
      <w:divBdr>
        <w:top w:val="none" w:sz="0" w:space="0" w:color="auto"/>
        <w:left w:val="none" w:sz="0" w:space="0" w:color="auto"/>
        <w:bottom w:val="none" w:sz="0" w:space="0" w:color="auto"/>
        <w:right w:val="none" w:sz="0" w:space="0" w:color="auto"/>
      </w:divBdr>
    </w:div>
    <w:div w:id="127237647">
      <w:bodyDiv w:val="1"/>
      <w:marLeft w:val="0"/>
      <w:marRight w:val="0"/>
      <w:marTop w:val="0"/>
      <w:marBottom w:val="0"/>
      <w:divBdr>
        <w:top w:val="none" w:sz="0" w:space="0" w:color="auto"/>
        <w:left w:val="none" w:sz="0" w:space="0" w:color="auto"/>
        <w:bottom w:val="none" w:sz="0" w:space="0" w:color="auto"/>
        <w:right w:val="none" w:sz="0" w:space="0" w:color="auto"/>
      </w:divBdr>
    </w:div>
    <w:div w:id="215750912">
      <w:bodyDiv w:val="1"/>
      <w:marLeft w:val="0"/>
      <w:marRight w:val="0"/>
      <w:marTop w:val="0"/>
      <w:marBottom w:val="0"/>
      <w:divBdr>
        <w:top w:val="none" w:sz="0" w:space="0" w:color="auto"/>
        <w:left w:val="none" w:sz="0" w:space="0" w:color="auto"/>
        <w:bottom w:val="none" w:sz="0" w:space="0" w:color="auto"/>
        <w:right w:val="none" w:sz="0" w:space="0" w:color="auto"/>
      </w:divBdr>
    </w:div>
    <w:div w:id="608707201">
      <w:bodyDiv w:val="1"/>
      <w:marLeft w:val="0"/>
      <w:marRight w:val="0"/>
      <w:marTop w:val="0"/>
      <w:marBottom w:val="0"/>
      <w:divBdr>
        <w:top w:val="none" w:sz="0" w:space="0" w:color="auto"/>
        <w:left w:val="none" w:sz="0" w:space="0" w:color="auto"/>
        <w:bottom w:val="none" w:sz="0" w:space="0" w:color="auto"/>
        <w:right w:val="none" w:sz="0" w:space="0" w:color="auto"/>
      </w:divBdr>
    </w:div>
    <w:div w:id="739669863">
      <w:bodyDiv w:val="1"/>
      <w:marLeft w:val="0"/>
      <w:marRight w:val="0"/>
      <w:marTop w:val="0"/>
      <w:marBottom w:val="0"/>
      <w:divBdr>
        <w:top w:val="none" w:sz="0" w:space="0" w:color="auto"/>
        <w:left w:val="none" w:sz="0" w:space="0" w:color="auto"/>
        <w:bottom w:val="none" w:sz="0" w:space="0" w:color="auto"/>
        <w:right w:val="none" w:sz="0" w:space="0" w:color="auto"/>
      </w:divBdr>
    </w:div>
    <w:div w:id="772630181">
      <w:bodyDiv w:val="1"/>
      <w:marLeft w:val="0"/>
      <w:marRight w:val="0"/>
      <w:marTop w:val="0"/>
      <w:marBottom w:val="0"/>
      <w:divBdr>
        <w:top w:val="none" w:sz="0" w:space="0" w:color="auto"/>
        <w:left w:val="none" w:sz="0" w:space="0" w:color="auto"/>
        <w:bottom w:val="none" w:sz="0" w:space="0" w:color="auto"/>
        <w:right w:val="none" w:sz="0" w:space="0" w:color="auto"/>
      </w:divBdr>
    </w:div>
    <w:div w:id="866215119">
      <w:bodyDiv w:val="1"/>
      <w:marLeft w:val="0"/>
      <w:marRight w:val="0"/>
      <w:marTop w:val="0"/>
      <w:marBottom w:val="0"/>
      <w:divBdr>
        <w:top w:val="none" w:sz="0" w:space="0" w:color="auto"/>
        <w:left w:val="none" w:sz="0" w:space="0" w:color="auto"/>
        <w:bottom w:val="none" w:sz="0" w:space="0" w:color="auto"/>
        <w:right w:val="none" w:sz="0" w:space="0" w:color="auto"/>
      </w:divBdr>
      <w:divsChild>
        <w:div w:id="1610091146">
          <w:marLeft w:val="0"/>
          <w:marRight w:val="0"/>
          <w:marTop w:val="0"/>
          <w:marBottom w:val="0"/>
          <w:divBdr>
            <w:top w:val="none" w:sz="0" w:space="0" w:color="auto"/>
            <w:left w:val="none" w:sz="0" w:space="0" w:color="auto"/>
            <w:bottom w:val="none" w:sz="0" w:space="0" w:color="auto"/>
            <w:right w:val="none" w:sz="0" w:space="0" w:color="auto"/>
          </w:divBdr>
        </w:div>
        <w:div w:id="897857044">
          <w:marLeft w:val="0"/>
          <w:marRight w:val="0"/>
          <w:marTop w:val="0"/>
          <w:marBottom w:val="0"/>
          <w:divBdr>
            <w:top w:val="none" w:sz="0" w:space="0" w:color="auto"/>
            <w:left w:val="none" w:sz="0" w:space="0" w:color="auto"/>
            <w:bottom w:val="none" w:sz="0" w:space="0" w:color="auto"/>
            <w:right w:val="none" w:sz="0" w:space="0" w:color="auto"/>
          </w:divBdr>
          <w:divsChild>
            <w:div w:id="1522013357">
              <w:marLeft w:val="0"/>
              <w:marRight w:val="4350"/>
              <w:marTop w:val="0"/>
              <w:marBottom w:val="0"/>
              <w:divBdr>
                <w:top w:val="none" w:sz="0" w:space="0" w:color="auto"/>
                <w:left w:val="none" w:sz="0" w:space="0" w:color="auto"/>
                <w:bottom w:val="none" w:sz="0" w:space="0" w:color="auto"/>
                <w:right w:val="none" w:sz="0" w:space="0" w:color="auto"/>
              </w:divBdr>
              <w:divsChild>
                <w:div w:id="577981104">
                  <w:marLeft w:val="0"/>
                  <w:marRight w:val="0"/>
                  <w:marTop w:val="0"/>
                  <w:marBottom w:val="0"/>
                  <w:divBdr>
                    <w:top w:val="none" w:sz="0" w:space="0" w:color="auto"/>
                    <w:left w:val="none" w:sz="0" w:space="0" w:color="auto"/>
                    <w:bottom w:val="none" w:sz="0" w:space="0" w:color="auto"/>
                    <w:right w:val="none" w:sz="0" w:space="0" w:color="auto"/>
                  </w:divBdr>
                  <w:divsChild>
                    <w:div w:id="1200774788">
                      <w:marLeft w:val="0"/>
                      <w:marRight w:val="0"/>
                      <w:marTop w:val="0"/>
                      <w:marBottom w:val="0"/>
                      <w:divBdr>
                        <w:top w:val="none" w:sz="0" w:space="0" w:color="auto"/>
                        <w:left w:val="none" w:sz="0" w:space="0" w:color="auto"/>
                        <w:bottom w:val="none" w:sz="0" w:space="0" w:color="auto"/>
                        <w:right w:val="none" w:sz="0" w:space="0" w:color="auto"/>
                      </w:divBdr>
                      <w:divsChild>
                        <w:div w:id="14987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819584">
      <w:bodyDiv w:val="1"/>
      <w:marLeft w:val="0"/>
      <w:marRight w:val="0"/>
      <w:marTop w:val="0"/>
      <w:marBottom w:val="0"/>
      <w:divBdr>
        <w:top w:val="none" w:sz="0" w:space="0" w:color="auto"/>
        <w:left w:val="none" w:sz="0" w:space="0" w:color="auto"/>
        <w:bottom w:val="none" w:sz="0" w:space="0" w:color="auto"/>
        <w:right w:val="none" w:sz="0" w:space="0" w:color="auto"/>
      </w:divBdr>
    </w:div>
    <w:div w:id="1046028708">
      <w:bodyDiv w:val="1"/>
      <w:marLeft w:val="0"/>
      <w:marRight w:val="0"/>
      <w:marTop w:val="0"/>
      <w:marBottom w:val="0"/>
      <w:divBdr>
        <w:top w:val="none" w:sz="0" w:space="0" w:color="auto"/>
        <w:left w:val="none" w:sz="0" w:space="0" w:color="auto"/>
        <w:bottom w:val="none" w:sz="0" w:space="0" w:color="auto"/>
        <w:right w:val="none" w:sz="0" w:space="0" w:color="auto"/>
      </w:divBdr>
    </w:div>
    <w:div w:id="1078938852">
      <w:bodyDiv w:val="1"/>
      <w:marLeft w:val="0"/>
      <w:marRight w:val="0"/>
      <w:marTop w:val="0"/>
      <w:marBottom w:val="0"/>
      <w:divBdr>
        <w:top w:val="none" w:sz="0" w:space="0" w:color="auto"/>
        <w:left w:val="none" w:sz="0" w:space="0" w:color="auto"/>
        <w:bottom w:val="none" w:sz="0" w:space="0" w:color="auto"/>
        <w:right w:val="none" w:sz="0" w:space="0" w:color="auto"/>
      </w:divBdr>
    </w:div>
    <w:div w:id="1364789926">
      <w:bodyDiv w:val="1"/>
      <w:marLeft w:val="0"/>
      <w:marRight w:val="0"/>
      <w:marTop w:val="0"/>
      <w:marBottom w:val="0"/>
      <w:divBdr>
        <w:top w:val="none" w:sz="0" w:space="0" w:color="auto"/>
        <w:left w:val="none" w:sz="0" w:space="0" w:color="auto"/>
        <w:bottom w:val="none" w:sz="0" w:space="0" w:color="auto"/>
        <w:right w:val="none" w:sz="0" w:space="0" w:color="auto"/>
      </w:divBdr>
    </w:div>
    <w:div w:id="1526333616">
      <w:bodyDiv w:val="1"/>
      <w:marLeft w:val="0"/>
      <w:marRight w:val="0"/>
      <w:marTop w:val="0"/>
      <w:marBottom w:val="0"/>
      <w:divBdr>
        <w:top w:val="none" w:sz="0" w:space="0" w:color="auto"/>
        <w:left w:val="none" w:sz="0" w:space="0" w:color="auto"/>
        <w:bottom w:val="none" w:sz="0" w:space="0" w:color="auto"/>
        <w:right w:val="none" w:sz="0" w:space="0" w:color="auto"/>
      </w:divBdr>
    </w:div>
    <w:div w:id="1534534984">
      <w:bodyDiv w:val="1"/>
      <w:marLeft w:val="0"/>
      <w:marRight w:val="0"/>
      <w:marTop w:val="0"/>
      <w:marBottom w:val="0"/>
      <w:divBdr>
        <w:top w:val="none" w:sz="0" w:space="0" w:color="auto"/>
        <w:left w:val="none" w:sz="0" w:space="0" w:color="auto"/>
        <w:bottom w:val="none" w:sz="0" w:space="0" w:color="auto"/>
        <w:right w:val="none" w:sz="0" w:space="0" w:color="auto"/>
      </w:divBdr>
    </w:div>
    <w:div w:id="1586840271">
      <w:bodyDiv w:val="1"/>
      <w:marLeft w:val="0"/>
      <w:marRight w:val="0"/>
      <w:marTop w:val="0"/>
      <w:marBottom w:val="0"/>
      <w:divBdr>
        <w:top w:val="none" w:sz="0" w:space="0" w:color="auto"/>
        <w:left w:val="none" w:sz="0" w:space="0" w:color="auto"/>
        <w:bottom w:val="none" w:sz="0" w:space="0" w:color="auto"/>
        <w:right w:val="none" w:sz="0" w:space="0" w:color="auto"/>
      </w:divBdr>
      <w:divsChild>
        <w:div w:id="978657615">
          <w:marLeft w:val="0"/>
          <w:marRight w:val="0"/>
          <w:marTop w:val="0"/>
          <w:marBottom w:val="0"/>
          <w:divBdr>
            <w:top w:val="none" w:sz="0" w:space="0" w:color="auto"/>
            <w:left w:val="none" w:sz="0" w:space="0" w:color="auto"/>
            <w:bottom w:val="none" w:sz="0" w:space="0" w:color="auto"/>
            <w:right w:val="none" w:sz="0" w:space="0" w:color="auto"/>
          </w:divBdr>
        </w:div>
        <w:div w:id="113445140">
          <w:marLeft w:val="0"/>
          <w:marRight w:val="0"/>
          <w:marTop w:val="0"/>
          <w:marBottom w:val="0"/>
          <w:divBdr>
            <w:top w:val="none" w:sz="0" w:space="0" w:color="auto"/>
            <w:left w:val="none" w:sz="0" w:space="0" w:color="auto"/>
            <w:bottom w:val="none" w:sz="0" w:space="0" w:color="auto"/>
            <w:right w:val="none" w:sz="0" w:space="0" w:color="auto"/>
          </w:divBdr>
          <w:divsChild>
            <w:div w:id="1133864687">
              <w:marLeft w:val="0"/>
              <w:marRight w:val="4350"/>
              <w:marTop w:val="0"/>
              <w:marBottom w:val="0"/>
              <w:divBdr>
                <w:top w:val="none" w:sz="0" w:space="0" w:color="auto"/>
                <w:left w:val="none" w:sz="0" w:space="0" w:color="auto"/>
                <w:bottom w:val="none" w:sz="0" w:space="0" w:color="auto"/>
                <w:right w:val="none" w:sz="0" w:space="0" w:color="auto"/>
              </w:divBdr>
              <w:divsChild>
                <w:div w:id="2107311570">
                  <w:marLeft w:val="0"/>
                  <w:marRight w:val="0"/>
                  <w:marTop w:val="0"/>
                  <w:marBottom w:val="0"/>
                  <w:divBdr>
                    <w:top w:val="none" w:sz="0" w:space="0" w:color="auto"/>
                    <w:left w:val="none" w:sz="0" w:space="0" w:color="auto"/>
                    <w:bottom w:val="none" w:sz="0" w:space="0" w:color="auto"/>
                    <w:right w:val="none" w:sz="0" w:space="0" w:color="auto"/>
                  </w:divBdr>
                  <w:divsChild>
                    <w:div w:id="1837573533">
                      <w:marLeft w:val="0"/>
                      <w:marRight w:val="0"/>
                      <w:marTop w:val="0"/>
                      <w:marBottom w:val="0"/>
                      <w:divBdr>
                        <w:top w:val="none" w:sz="0" w:space="0" w:color="auto"/>
                        <w:left w:val="none" w:sz="0" w:space="0" w:color="auto"/>
                        <w:bottom w:val="none" w:sz="0" w:space="0" w:color="auto"/>
                        <w:right w:val="none" w:sz="0" w:space="0" w:color="auto"/>
                      </w:divBdr>
                      <w:divsChild>
                        <w:div w:id="17072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1001">
      <w:bodyDiv w:val="1"/>
      <w:marLeft w:val="0"/>
      <w:marRight w:val="0"/>
      <w:marTop w:val="0"/>
      <w:marBottom w:val="0"/>
      <w:divBdr>
        <w:top w:val="none" w:sz="0" w:space="0" w:color="auto"/>
        <w:left w:val="none" w:sz="0" w:space="0" w:color="auto"/>
        <w:bottom w:val="none" w:sz="0" w:space="0" w:color="auto"/>
        <w:right w:val="none" w:sz="0" w:space="0" w:color="auto"/>
      </w:divBdr>
    </w:div>
    <w:div w:id="1781216100">
      <w:bodyDiv w:val="1"/>
      <w:marLeft w:val="0"/>
      <w:marRight w:val="0"/>
      <w:marTop w:val="0"/>
      <w:marBottom w:val="0"/>
      <w:divBdr>
        <w:top w:val="none" w:sz="0" w:space="0" w:color="auto"/>
        <w:left w:val="none" w:sz="0" w:space="0" w:color="auto"/>
        <w:bottom w:val="none" w:sz="0" w:space="0" w:color="auto"/>
        <w:right w:val="none" w:sz="0" w:space="0" w:color="auto"/>
      </w:divBdr>
    </w:div>
    <w:div w:id="20974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inclusive-transport-strateg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hsat.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clox.org/"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oxcivicsoc.org.uk/" TargetMode="External"/><Relationship Id="rId4" Type="http://schemas.openxmlformats.org/officeDocument/2006/relationships/settings" Target="settings.xml"/><Relationship Id="rId9" Type="http://schemas.openxmlformats.org/officeDocument/2006/relationships/hyperlink" Target="http://www.climateactionoxfordshire.org.u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CDDF7-D221-45FF-9754-15AEBFB2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5672</Words>
  <Characters>32333</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Prado-Teeling</dc:creator>
  <cp:keywords/>
  <dc:description/>
  <cp:lastModifiedBy>White, Suzanne - Oxfordshire County Council</cp:lastModifiedBy>
  <cp:revision>2</cp:revision>
  <cp:lastPrinted>2022-07-11T11:06:00Z</cp:lastPrinted>
  <dcterms:created xsi:type="dcterms:W3CDTF">2022-11-02T15:47:00Z</dcterms:created>
  <dcterms:modified xsi:type="dcterms:W3CDTF">2022-11-02T15:47:00Z</dcterms:modified>
</cp:coreProperties>
</file>