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8EC6" w14:textId="77777777" w:rsidR="00D059FA" w:rsidRPr="00D059FA" w:rsidRDefault="00D059FA" w:rsidP="00D059FA">
      <w:pPr>
        <w:pStyle w:val="Heading1"/>
        <w:rPr>
          <w:sz w:val="16"/>
        </w:rPr>
      </w:pPr>
    </w:p>
    <w:p w14:paraId="0377F39D" w14:textId="670BF06D" w:rsidR="00AA305E" w:rsidRPr="00D059FA" w:rsidRDefault="00D059FA" w:rsidP="00E43429">
      <w:pPr>
        <w:pStyle w:val="Heading1"/>
      </w:pPr>
      <w:r w:rsidRPr="00D059FA">
        <w:t>Quality provision and practice for funded two</w:t>
      </w:r>
      <w:r w:rsidR="00AA305E">
        <w:t>-</w:t>
      </w:r>
      <w:r w:rsidRPr="00D059FA">
        <w:t>year olds</w:t>
      </w:r>
      <w:r w:rsidR="003E72AB">
        <w:t xml:space="preserve"> </w:t>
      </w:r>
      <w:r w:rsidR="00AA305E">
        <w:t>(</w:t>
      </w:r>
      <w:r w:rsidR="003E72AB">
        <w:t>audit</w:t>
      </w:r>
      <w:r w:rsidR="00AA305E">
        <w:t>)</w:t>
      </w:r>
    </w:p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7357"/>
      </w:tblGrid>
      <w:tr w:rsidR="00D059FA" w:rsidRPr="00D059FA" w14:paraId="37D596FC" w14:textId="77777777" w:rsidTr="00CD3250">
        <w:trPr>
          <w:trHeight w:val="454"/>
        </w:trPr>
        <w:tc>
          <w:tcPr>
            <w:tcW w:w="7357" w:type="dxa"/>
          </w:tcPr>
          <w:p w14:paraId="4261AA78" w14:textId="77777777" w:rsidR="00D059FA" w:rsidRPr="00D059FA" w:rsidRDefault="00D059FA" w:rsidP="00D059FA">
            <w:pPr>
              <w:rPr>
                <w:b/>
              </w:rPr>
            </w:pPr>
            <w:r w:rsidRPr="00D059FA">
              <w:rPr>
                <w:b/>
              </w:rPr>
              <w:t xml:space="preserve">Setting’s Name: </w:t>
            </w:r>
          </w:p>
        </w:tc>
      </w:tr>
      <w:tr w:rsidR="00D059FA" w:rsidRPr="00D059FA" w14:paraId="6E7FEAAE" w14:textId="77777777" w:rsidTr="00CD3250">
        <w:trPr>
          <w:trHeight w:val="454"/>
        </w:trPr>
        <w:tc>
          <w:tcPr>
            <w:tcW w:w="7357" w:type="dxa"/>
          </w:tcPr>
          <w:p w14:paraId="180E0FC6" w14:textId="57DEAFF7" w:rsidR="00D059FA" w:rsidRPr="00D059FA" w:rsidRDefault="00E43429" w:rsidP="00D059FA">
            <w:pPr>
              <w:rPr>
                <w:b/>
              </w:rPr>
            </w:pPr>
            <w:r>
              <w:rPr>
                <w:b/>
              </w:rPr>
              <w:t>Staff completing audit</w:t>
            </w:r>
            <w:r w:rsidR="00D059FA" w:rsidRPr="00D059FA">
              <w:rPr>
                <w:b/>
              </w:rPr>
              <w:t xml:space="preserve">: </w:t>
            </w:r>
          </w:p>
        </w:tc>
      </w:tr>
      <w:tr w:rsidR="00D059FA" w:rsidRPr="00D059FA" w14:paraId="0B3D8D42" w14:textId="77777777" w:rsidTr="00CD3250">
        <w:trPr>
          <w:trHeight w:val="454"/>
        </w:trPr>
        <w:tc>
          <w:tcPr>
            <w:tcW w:w="7357" w:type="dxa"/>
          </w:tcPr>
          <w:p w14:paraId="3C5B078D" w14:textId="77777777" w:rsidR="00D059FA" w:rsidRPr="00D059FA" w:rsidRDefault="00D059FA" w:rsidP="00D059FA">
            <w:pPr>
              <w:rPr>
                <w:b/>
              </w:rPr>
            </w:pPr>
            <w:r w:rsidRPr="00D059FA">
              <w:rPr>
                <w:b/>
              </w:rPr>
              <w:t xml:space="preserve">Date: </w:t>
            </w:r>
          </w:p>
        </w:tc>
      </w:tr>
      <w:tr w:rsidR="00D059FA" w:rsidRPr="00D059FA" w14:paraId="457454F1" w14:textId="77777777" w:rsidTr="00CD3250">
        <w:trPr>
          <w:trHeight w:val="454"/>
        </w:trPr>
        <w:tc>
          <w:tcPr>
            <w:tcW w:w="7357" w:type="dxa"/>
          </w:tcPr>
          <w:p w14:paraId="5360D911" w14:textId="38ADD743" w:rsidR="00D059FA" w:rsidRPr="00D059FA" w:rsidRDefault="00E43429" w:rsidP="00D059FA">
            <w:pPr>
              <w:rPr>
                <w:b/>
              </w:rPr>
            </w:pPr>
            <w:r>
              <w:rPr>
                <w:b/>
              </w:rPr>
              <w:t>Review date</w:t>
            </w:r>
            <w:r w:rsidR="00D059FA" w:rsidRPr="00D059FA">
              <w:rPr>
                <w:b/>
              </w:rPr>
              <w:t>:</w:t>
            </w:r>
          </w:p>
        </w:tc>
      </w:tr>
    </w:tbl>
    <w:p w14:paraId="40D4F6F5" w14:textId="77777777" w:rsidR="00E43429" w:rsidRDefault="00E43429" w:rsidP="00D059FA"/>
    <w:p w14:paraId="4FDA2EA3" w14:textId="03DFEEB3" w:rsidR="00D059FA" w:rsidRPr="00D059FA" w:rsidRDefault="00D059FA" w:rsidP="00D059FA">
      <w:r w:rsidRPr="00D059FA">
        <w:t>Information about this document:</w:t>
      </w:r>
    </w:p>
    <w:p w14:paraId="003BF557" w14:textId="5FBD3B86" w:rsidR="00D059FA" w:rsidRPr="00D059FA" w:rsidRDefault="00D059FA" w:rsidP="00D059FA">
      <w:pPr>
        <w:numPr>
          <w:ilvl w:val="0"/>
          <w:numId w:val="2"/>
        </w:numPr>
      </w:pPr>
      <w:r w:rsidRPr="00D059FA">
        <w:t>Can be used to contribute to your self-evaluation of the two</w:t>
      </w:r>
      <w:r w:rsidR="00AA305E">
        <w:t>-</w:t>
      </w:r>
      <w:r w:rsidRPr="00D059FA">
        <w:t>year old provision in your setting</w:t>
      </w:r>
      <w:r w:rsidR="00BB3B14">
        <w:t>.</w:t>
      </w:r>
    </w:p>
    <w:p w14:paraId="173FC115" w14:textId="79A1703F" w:rsidR="00D059FA" w:rsidRPr="00D059FA" w:rsidRDefault="00D059FA" w:rsidP="00D059FA">
      <w:pPr>
        <w:numPr>
          <w:ilvl w:val="0"/>
          <w:numId w:val="2"/>
        </w:numPr>
      </w:pPr>
      <w:r w:rsidRPr="00D059FA">
        <w:t>Will help to ensure that gaps are identified</w:t>
      </w:r>
      <w:r w:rsidR="00AA305E">
        <w:t>,</w:t>
      </w:r>
      <w:r w:rsidRPr="00D059FA">
        <w:t xml:space="preserve"> and plans put in place for quality provision and practice for funded two</w:t>
      </w:r>
      <w:r w:rsidR="00AA305E">
        <w:t>-</w:t>
      </w:r>
      <w:r w:rsidRPr="00D059FA">
        <w:t>year olds</w:t>
      </w:r>
      <w:r w:rsidR="00BB3B14">
        <w:t>.</w:t>
      </w:r>
    </w:p>
    <w:p w14:paraId="03DEF822" w14:textId="415C28A8" w:rsidR="00D059FA" w:rsidRPr="00D059FA" w:rsidRDefault="00D059FA" w:rsidP="00D059FA">
      <w:pPr>
        <w:numPr>
          <w:ilvl w:val="0"/>
          <w:numId w:val="2"/>
        </w:numPr>
      </w:pPr>
      <w:r w:rsidRPr="00D059FA">
        <w:t>Can be used as evidence for your Self-Evaluation Form (SEF)</w:t>
      </w:r>
      <w:r w:rsidR="00AA305E">
        <w:t xml:space="preserve"> or current EY action plan</w:t>
      </w:r>
      <w:r w:rsidR="00BB3B14">
        <w:t>.</w:t>
      </w:r>
    </w:p>
    <w:p w14:paraId="1BE1E65C" w14:textId="079093F8" w:rsidR="00D059FA" w:rsidRPr="00D059FA" w:rsidRDefault="00D059FA" w:rsidP="00D059FA">
      <w:pPr>
        <w:numPr>
          <w:ilvl w:val="0"/>
          <w:numId w:val="2"/>
        </w:numPr>
      </w:pPr>
      <w:r w:rsidRPr="00D059FA">
        <w:t xml:space="preserve">Is divided into </w:t>
      </w:r>
      <w:r w:rsidR="00BA41F3">
        <w:t>5</w:t>
      </w:r>
      <w:r w:rsidRPr="00D059FA">
        <w:t xml:space="preserve"> parts which reflect </w:t>
      </w:r>
      <w:r w:rsidR="00BA41F3">
        <w:t>5</w:t>
      </w:r>
      <w:r w:rsidRPr="00D059FA">
        <w:t xml:space="preserve"> areas of judgement under the </w:t>
      </w:r>
      <w:r w:rsidR="004A3A32">
        <w:t>‘Early years inspection handbook’</w:t>
      </w:r>
      <w:r w:rsidRPr="00D059FA">
        <w:t xml:space="preserve"> from September 20</w:t>
      </w:r>
      <w:r w:rsidR="00D328B6">
        <w:t>2</w:t>
      </w:r>
      <w:r w:rsidR="003D1C41">
        <w:t>2</w:t>
      </w:r>
      <w:r w:rsidR="00BB3B14">
        <w:t>.</w:t>
      </w:r>
    </w:p>
    <w:p w14:paraId="62A0998D" w14:textId="508949E4" w:rsidR="00D059FA" w:rsidRPr="00E33132" w:rsidRDefault="00D059FA" w:rsidP="00E33132">
      <w:pPr>
        <w:numPr>
          <w:ilvl w:val="0"/>
          <w:numId w:val="2"/>
        </w:numPr>
      </w:pPr>
      <w:r w:rsidRPr="00D059FA">
        <w:t>Fields can be expanded as needed for inputting informatio</w:t>
      </w:r>
      <w:r w:rsidR="00601BAC">
        <w:t>n</w:t>
      </w:r>
      <w:r w:rsidR="00BB3B14">
        <w:t>.</w:t>
      </w:r>
    </w:p>
    <w:tbl>
      <w:tblPr>
        <w:tblStyle w:val="TableGrid"/>
        <w:tblpPr w:leftFromText="180" w:rightFromText="180" w:vertAnchor="page" w:horzAnchor="margin" w:tblpX="180" w:tblpY="1816"/>
        <w:tblW w:w="147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4997"/>
        <w:gridCol w:w="645"/>
        <w:gridCol w:w="600"/>
        <w:gridCol w:w="7791"/>
      </w:tblGrid>
      <w:tr w:rsidR="00BB3B14" w:rsidRPr="00D059FA" w14:paraId="14CA9378" w14:textId="77777777" w:rsidTr="000A1B53">
        <w:tc>
          <w:tcPr>
            <w:tcW w:w="14742" w:type="dxa"/>
            <w:gridSpan w:val="5"/>
            <w:shd w:val="clear" w:color="auto" w:fill="E5ECEB" w:themeFill="background2" w:themeFillTint="33"/>
            <w:vAlign w:val="center"/>
          </w:tcPr>
          <w:p w14:paraId="050E6879" w14:textId="07CE2A02" w:rsidR="00BB3B14" w:rsidRPr="00D059FA" w:rsidRDefault="00BB3B14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lastRenderedPageBreak/>
              <w:t xml:space="preserve">Part 1: </w:t>
            </w:r>
            <w:r>
              <w:rPr>
                <w:b/>
              </w:rPr>
              <w:t>L</w:t>
            </w:r>
            <w:r w:rsidRPr="00D059FA">
              <w:rPr>
                <w:b/>
              </w:rPr>
              <w:t>eadership and management</w:t>
            </w:r>
            <w:r>
              <w:rPr>
                <w:b/>
              </w:rPr>
              <w:t xml:space="preserve">                      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 xml:space="preserve">    No                                                Actions</w:t>
            </w:r>
          </w:p>
        </w:tc>
      </w:tr>
      <w:tr w:rsidR="00A7212A" w:rsidRPr="00D059FA" w14:paraId="148261B0" w14:textId="77777777" w:rsidTr="00E33132">
        <w:trPr>
          <w:trHeight w:val="937"/>
        </w:trPr>
        <w:tc>
          <w:tcPr>
            <w:tcW w:w="709" w:type="dxa"/>
            <w:shd w:val="clear" w:color="auto" w:fill="auto"/>
            <w:vAlign w:val="center"/>
          </w:tcPr>
          <w:p w14:paraId="3A882E32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1.1</w:t>
            </w:r>
          </w:p>
        </w:tc>
        <w:tc>
          <w:tcPr>
            <w:tcW w:w="4997" w:type="dxa"/>
            <w:vAlign w:val="center"/>
          </w:tcPr>
          <w:p w14:paraId="15611892" w14:textId="209E8601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All practitioners who work with </w:t>
            </w:r>
            <w:r w:rsidR="00AA305E">
              <w:t>two-year olds</w:t>
            </w:r>
            <w:r w:rsidRPr="00D059FA">
              <w:t xml:space="preserve"> are qualified, trained</w:t>
            </w:r>
            <w:r w:rsidR="00601BAC">
              <w:t>,</w:t>
            </w:r>
            <w:r w:rsidRPr="00D059FA">
              <w:t xml:space="preserve"> and inducted</w:t>
            </w:r>
            <w:r>
              <w:t xml:space="preserve"> </w:t>
            </w:r>
          </w:p>
        </w:tc>
        <w:tc>
          <w:tcPr>
            <w:tcW w:w="645" w:type="dxa"/>
            <w:vAlign w:val="center"/>
          </w:tcPr>
          <w:p w14:paraId="48F85BCD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7AE69B3D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2069C39F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0C1D1726" w14:textId="77777777" w:rsidTr="00E33132">
        <w:trPr>
          <w:trHeight w:val="1065"/>
        </w:trPr>
        <w:tc>
          <w:tcPr>
            <w:tcW w:w="709" w:type="dxa"/>
            <w:shd w:val="clear" w:color="auto" w:fill="auto"/>
            <w:vAlign w:val="center"/>
          </w:tcPr>
          <w:p w14:paraId="68EA55E1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1.2</w:t>
            </w:r>
          </w:p>
        </w:tc>
        <w:tc>
          <w:tcPr>
            <w:tcW w:w="4997" w:type="dxa"/>
            <w:vAlign w:val="center"/>
          </w:tcPr>
          <w:p w14:paraId="00ED9ABE" w14:textId="279E0541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Staff have a sound knowledge of the EYFS areas of learning and </w:t>
            </w:r>
            <w:r w:rsidR="00AA305E" w:rsidRPr="00D059FA">
              <w:t>understand</w:t>
            </w:r>
            <w:r w:rsidRPr="00D059FA">
              <w:t xml:space="preserve"> how </w:t>
            </w:r>
            <w:r w:rsidR="00AA305E">
              <w:t>two-year olds</w:t>
            </w:r>
            <w:r w:rsidRPr="00D059FA">
              <w:t xml:space="preserve"> learn</w:t>
            </w:r>
          </w:p>
        </w:tc>
        <w:tc>
          <w:tcPr>
            <w:tcW w:w="645" w:type="dxa"/>
            <w:vAlign w:val="center"/>
          </w:tcPr>
          <w:p w14:paraId="3656241F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21B47C7A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4A431F85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348F8362" w14:textId="77777777" w:rsidTr="00E33132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14:paraId="530DBA83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1.3</w:t>
            </w:r>
          </w:p>
        </w:tc>
        <w:tc>
          <w:tcPr>
            <w:tcW w:w="4997" w:type="dxa"/>
            <w:vAlign w:val="center"/>
          </w:tcPr>
          <w:p w14:paraId="50B905C9" w14:textId="5ED9F934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Staff are supported in undertaking specific training to support vulnerable </w:t>
            </w:r>
            <w:r w:rsidR="00AA305E">
              <w:t>two-year olds</w:t>
            </w:r>
          </w:p>
        </w:tc>
        <w:tc>
          <w:tcPr>
            <w:tcW w:w="645" w:type="dxa"/>
            <w:vAlign w:val="center"/>
          </w:tcPr>
          <w:p w14:paraId="651FD3D2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110E1D66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0C79B7DE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3A54BE1A" w14:textId="77777777" w:rsidTr="00E33132">
        <w:trPr>
          <w:trHeight w:val="796"/>
        </w:trPr>
        <w:tc>
          <w:tcPr>
            <w:tcW w:w="709" w:type="dxa"/>
            <w:shd w:val="clear" w:color="auto" w:fill="auto"/>
            <w:vAlign w:val="center"/>
          </w:tcPr>
          <w:p w14:paraId="00B0283D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1.4</w:t>
            </w:r>
          </w:p>
        </w:tc>
        <w:tc>
          <w:tcPr>
            <w:tcW w:w="4997" w:type="dxa"/>
            <w:vAlign w:val="center"/>
          </w:tcPr>
          <w:p w14:paraId="01045347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All staff are secure in their knowledge of Child Protection procedures</w:t>
            </w:r>
          </w:p>
        </w:tc>
        <w:tc>
          <w:tcPr>
            <w:tcW w:w="645" w:type="dxa"/>
            <w:vAlign w:val="center"/>
          </w:tcPr>
          <w:p w14:paraId="1DFB773B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5319C665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1B5C2DC6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6FE53463" w14:textId="77777777" w:rsidTr="00E33132">
        <w:trPr>
          <w:trHeight w:val="1021"/>
        </w:trPr>
        <w:tc>
          <w:tcPr>
            <w:tcW w:w="709" w:type="dxa"/>
            <w:shd w:val="clear" w:color="auto" w:fill="auto"/>
            <w:vAlign w:val="center"/>
          </w:tcPr>
          <w:p w14:paraId="600DB59F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1.5</w:t>
            </w:r>
          </w:p>
        </w:tc>
        <w:tc>
          <w:tcPr>
            <w:tcW w:w="4997" w:type="dxa"/>
            <w:vAlign w:val="center"/>
          </w:tcPr>
          <w:p w14:paraId="08FD8E39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All staff demonstrate sound knowledge of the EYFS requirements for safeguarding and welfare</w:t>
            </w:r>
          </w:p>
        </w:tc>
        <w:tc>
          <w:tcPr>
            <w:tcW w:w="645" w:type="dxa"/>
            <w:vAlign w:val="center"/>
          </w:tcPr>
          <w:p w14:paraId="0245E50C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4E70A3A6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6C1EAD24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07F4FAEF" w14:textId="77777777" w:rsidTr="00E33132">
        <w:trPr>
          <w:trHeight w:val="785"/>
        </w:trPr>
        <w:tc>
          <w:tcPr>
            <w:tcW w:w="709" w:type="dxa"/>
            <w:shd w:val="clear" w:color="auto" w:fill="auto"/>
            <w:vAlign w:val="center"/>
          </w:tcPr>
          <w:p w14:paraId="4717B2F9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1.6</w:t>
            </w:r>
          </w:p>
        </w:tc>
        <w:tc>
          <w:tcPr>
            <w:tcW w:w="4997" w:type="dxa"/>
            <w:vAlign w:val="center"/>
          </w:tcPr>
          <w:p w14:paraId="7339E1C8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Staff understand the referral processes for early support</w:t>
            </w:r>
          </w:p>
        </w:tc>
        <w:tc>
          <w:tcPr>
            <w:tcW w:w="645" w:type="dxa"/>
            <w:vAlign w:val="center"/>
          </w:tcPr>
          <w:p w14:paraId="0E97A202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6A2ECD03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4C1976F2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2A8CF516" w14:textId="77777777" w:rsidTr="00AF123F">
        <w:trPr>
          <w:trHeight w:val="924"/>
        </w:trPr>
        <w:tc>
          <w:tcPr>
            <w:tcW w:w="709" w:type="dxa"/>
            <w:shd w:val="clear" w:color="auto" w:fill="auto"/>
            <w:vAlign w:val="center"/>
          </w:tcPr>
          <w:p w14:paraId="5C4B4E35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1.7</w:t>
            </w:r>
          </w:p>
        </w:tc>
        <w:tc>
          <w:tcPr>
            <w:tcW w:w="4997" w:type="dxa"/>
            <w:vAlign w:val="center"/>
          </w:tcPr>
          <w:p w14:paraId="5004279C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Effective monitoring is in place to observe, assess and support practice and provision within a setting  </w:t>
            </w:r>
          </w:p>
        </w:tc>
        <w:tc>
          <w:tcPr>
            <w:tcW w:w="645" w:type="dxa"/>
            <w:vAlign w:val="center"/>
          </w:tcPr>
          <w:p w14:paraId="4A707C24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58573D34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4CAD2C65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4A92011F" w14:textId="77777777" w:rsidTr="00E33132">
        <w:trPr>
          <w:trHeight w:val="1100"/>
        </w:trPr>
        <w:tc>
          <w:tcPr>
            <w:tcW w:w="709" w:type="dxa"/>
            <w:shd w:val="clear" w:color="auto" w:fill="auto"/>
            <w:vAlign w:val="center"/>
          </w:tcPr>
          <w:p w14:paraId="7CA31106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lastRenderedPageBreak/>
              <w:t>1.8</w:t>
            </w:r>
          </w:p>
        </w:tc>
        <w:tc>
          <w:tcPr>
            <w:tcW w:w="4997" w:type="dxa"/>
            <w:vAlign w:val="center"/>
          </w:tcPr>
          <w:p w14:paraId="16D110B0" w14:textId="39D7D3E6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Assessments of children’s development and learning </w:t>
            </w:r>
            <w:r w:rsidR="00BA41F3">
              <w:t xml:space="preserve">take place </w:t>
            </w:r>
            <w:r w:rsidRPr="00D059FA">
              <w:t xml:space="preserve">and children’s progress </w:t>
            </w:r>
            <w:r w:rsidR="00BA41F3">
              <w:t>monitored</w:t>
            </w:r>
            <w:r w:rsidRPr="00D059FA">
              <w:t xml:space="preserve"> through</w:t>
            </w:r>
            <w:r w:rsidR="00601BAC">
              <w:t>out</w:t>
            </w:r>
            <w:r w:rsidRPr="00D059FA">
              <w:t xml:space="preserve"> the year</w:t>
            </w:r>
          </w:p>
        </w:tc>
        <w:tc>
          <w:tcPr>
            <w:tcW w:w="645" w:type="dxa"/>
            <w:vAlign w:val="center"/>
          </w:tcPr>
          <w:p w14:paraId="6D79ED00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79861A9F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41C55671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6A56F6F9" w14:textId="77777777" w:rsidTr="009B4C13">
        <w:tc>
          <w:tcPr>
            <w:tcW w:w="709" w:type="dxa"/>
            <w:shd w:val="clear" w:color="auto" w:fill="auto"/>
            <w:vAlign w:val="center"/>
          </w:tcPr>
          <w:p w14:paraId="5E41D475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1.9</w:t>
            </w:r>
          </w:p>
        </w:tc>
        <w:tc>
          <w:tcPr>
            <w:tcW w:w="4997" w:type="dxa"/>
            <w:vAlign w:val="center"/>
          </w:tcPr>
          <w:p w14:paraId="1E807050" w14:textId="4512FC1B" w:rsidR="00A7212A" w:rsidRPr="00D059FA" w:rsidRDefault="00A7212A" w:rsidP="00D059FA">
            <w:pPr>
              <w:spacing w:after="200" w:line="276" w:lineRule="auto"/>
            </w:pPr>
            <w:r w:rsidRPr="00D059FA">
              <w:t>There are named staff for: Safeguarding, SEN</w:t>
            </w:r>
            <w:r w:rsidR="00E43429">
              <w:t>D</w:t>
            </w:r>
            <w:r w:rsidRPr="00D059FA">
              <w:t>, Equality, Diversity &amp; Inclusion, Parental Partnership, Behaviour Management, Communication and Language</w:t>
            </w:r>
          </w:p>
        </w:tc>
        <w:tc>
          <w:tcPr>
            <w:tcW w:w="645" w:type="dxa"/>
            <w:vAlign w:val="center"/>
          </w:tcPr>
          <w:p w14:paraId="40615E71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7270E36C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58E528B1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                                                 </w:t>
            </w:r>
          </w:p>
        </w:tc>
      </w:tr>
      <w:tr w:rsidR="00A7212A" w:rsidRPr="00D059FA" w14:paraId="48D41322" w14:textId="77777777" w:rsidTr="00135C32">
        <w:tc>
          <w:tcPr>
            <w:tcW w:w="709" w:type="dxa"/>
            <w:shd w:val="clear" w:color="auto" w:fill="auto"/>
            <w:vAlign w:val="center"/>
          </w:tcPr>
          <w:p w14:paraId="254DA525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1.10</w:t>
            </w:r>
          </w:p>
        </w:tc>
        <w:tc>
          <w:tcPr>
            <w:tcW w:w="4997" w:type="dxa"/>
            <w:vAlign w:val="center"/>
          </w:tcPr>
          <w:p w14:paraId="2EC54B7E" w14:textId="0377864D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A settling in policy outlines support for children and their families during transition to </w:t>
            </w:r>
            <w:r w:rsidR="00BA41F3">
              <w:t xml:space="preserve">the </w:t>
            </w:r>
            <w:r w:rsidRPr="00D059FA">
              <w:t>setting</w:t>
            </w:r>
          </w:p>
        </w:tc>
        <w:tc>
          <w:tcPr>
            <w:tcW w:w="645" w:type="dxa"/>
            <w:vAlign w:val="center"/>
          </w:tcPr>
          <w:p w14:paraId="61EDEC73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7F94E325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27AD9258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306879F4" w14:textId="77777777" w:rsidTr="00EF1515">
        <w:trPr>
          <w:trHeight w:val="1060"/>
        </w:trPr>
        <w:tc>
          <w:tcPr>
            <w:tcW w:w="709" w:type="dxa"/>
            <w:shd w:val="clear" w:color="auto" w:fill="auto"/>
            <w:vAlign w:val="center"/>
          </w:tcPr>
          <w:p w14:paraId="0AEEDF0A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1.11</w:t>
            </w:r>
          </w:p>
        </w:tc>
        <w:tc>
          <w:tcPr>
            <w:tcW w:w="4997" w:type="dxa"/>
            <w:vAlign w:val="center"/>
          </w:tcPr>
          <w:p w14:paraId="08EF3464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All children and their parents/carers are warmly welcomed into the setting daily</w:t>
            </w:r>
          </w:p>
        </w:tc>
        <w:tc>
          <w:tcPr>
            <w:tcW w:w="645" w:type="dxa"/>
            <w:vAlign w:val="center"/>
          </w:tcPr>
          <w:p w14:paraId="5BB984D1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7729315F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03716626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07BDA035" w14:textId="77777777" w:rsidTr="00C76144">
        <w:tc>
          <w:tcPr>
            <w:tcW w:w="709" w:type="dxa"/>
            <w:shd w:val="clear" w:color="auto" w:fill="auto"/>
            <w:vAlign w:val="center"/>
          </w:tcPr>
          <w:p w14:paraId="331B4E50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1.12</w:t>
            </w:r>
          </w:p>
        </w:tc>
        <w:tc>
          <w:tcPr>
            <w:tcW w:w="4997" w:type="dxa"/>
            <w:vAlign w:val="center"/>
          </w:tcPr>
          <w:p w14:paraId="399824FF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A key person (and co-key person) is designated for each child and the child’s family prior to starting in the setting</w:t>
            </w:r>
          </w:p>
        </w:tc>
        <w:tc>
          <w:tcPr>
            <w:tcW w:w="645" w:type="dxa"/>
            <w:vAlign w:val="center"/>
          </w:tcPr>
          <w:p w14:paraId="1CD0293C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78CAB5D0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13DC5BE2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0B09F523" w14:textId="77777777" w:rsidTr="006E54B3">
        <w:trPr>
          <w:trHeight w:val="1122"/>
        </w:trPr>
        <w:tc>
          <w:tcPr>
            <w:tcW w:w="709" w:type="dxa"/>
            <w:shd w:val="clear" w:color="auto" w:fill="auto"/>
            <w:vAlign w:val="center"/>
          </w:tcPr>
          <w:p w14:paraId="10B7C016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1.13</w:t>
            </w:r>
          </w:p>
        </w:tc>
        <w:tc>
          <w:tcPr>
            <w:tcW w:w="4997" w:type="dxa"/>
            <w:vAlign w:val="center"/>
          </w:tcPr>
          <w:p w14:paraId="7450D39F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All staff have a good understanding of the Key Person role and responsibilities</w:t>
            </w:r>
          </w:p>
        </w:tc>
        <w:tc>
          <w:tcPr>
            <w:tcW w:w="645" w:type="dxa"/>
            <w:vAlign w:val="center"/>
          </w:tcPr>
          <w:p w14:paraId="5BD36D7A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591BBEC1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63929FD1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07EFFA3B" w14:textId="77777777" w:rsidTr="00312BBC">
        <w:tc>
          <w:tcPr>
            <w:tcW w:w="709" w:type="dxa"/>
            <w:shd w:val="clear" w:color="auto" w:fill="auto"/>
            <w:vAlign w:val="center"/>
          </w:tcPr>
          <w:p w14:paraId="180DFBE3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1.14</w:t>
            </w:r>
          </w:p>
        </w:tc>
        <w:tc>
          <w:tcPr>
            <w:tcW w:w="4997" w:type="dxa"/>
            <w:vAlign w:val="center"/>
          </w:tcPr>
          <w:p w14:paraId="6B84E178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The key person approach enables consistency and continuity for the child and the parent/carer</w:t>
            </w:r>
          </w:p>
        </w:tc>
        <w:tc>
          <w:tcPr>
            <w:tcW w:w="645" w:type="dxa"/>
            <w:vAlign w:val="center"/>
          </w:tcPr>
          <w:p w14:paraId="63CAA6A9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70689B26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59C8D068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3A9F53BA" w14:textId="77777777" w:rsidTr="00102557">
        <w:tc>
          <w:tcPr>
            <w:tcW w:w="709" w:type="dxa"/>
            <w:shd w:val="clear" w:color="auto" w:fill="auto"/>
            <w:vAlign w:val="center"/>
          </w:tcPr>
          <w:p w14:paraId="1C5F51BF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lastRenderedPageBreak/>
              <w:t>1.15</w:t>
            </w:r>
          </w:p>
        </w:tc>
        <w:tc>
          <w:tcPr>
            <w:tcW w:w="4997" w:type="dxa"/>
            <w:vAlign w:val="center"/>
          </w:tcPr>
          <w:p w14:paraId="0FCFDB97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The key person approach takes account of possible routine changes and transitions between rooms or settings</w:t>
            </w:r>
          </w:p>
        </w:tc>
        <w:tc>
          <w:tcPr>
            <w:tcW w:w="645" w:type="dxa"/>
            <w:vAlign w:val="center"/>
          </w:tcPr>
          <w:p w14:paraId="3427E31C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794065F0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55B923CD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0A26A527" w14:textId="77777777" w:rsidTr="00D21E3E">
        <w:tc>
          <w:tcPr>
            <w:tcW w:w="709" w:type="dxa"/>
            <w:shd w:val="clear" w:color="auto" w:fill="auto"/>
            <w:vAlign w:val="center"/>
          </w:tcPr>
          <w:p w14:paraId="0D5BE1C3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1.16</w:t>
            </w:r>
          </w:p>
        </w:tc>
        <w:tc>
          <w:tcPr>
            <w:tcW w:w="4997" w:type="dxa"/>
            <w:vAlign w:val="center"/>
          </w:tcPr>
          <w:p w14:paraId="18F0AB7E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There is a parental partnership policy in place which reflects the EYFS statutory requirements</w:t>
            </w:r>
          </w:p>
        </w:tc>
        <w:tc>
          <w:tcPr>
            <w:tcW w:w="645" w:type="dxa"/>
            <w:vAlign w:val="center"/>
          </w:tcPr>
          <w:p w14:paraId="63EFB658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7E33494C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7BC68699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55556B48" w14:textId="77777777" w:rsidTr="00C01A02">
        <w:tc>
          <w:tcPr>
            <w:tcW w:w="709" w:type="dxa"/>
            <w:shd w:val="clear" w:color="auto" w:fill="auto"/>
            <w:vAlign w:val="center"/>
          </w:tcPr>
          <w:p w14:paraId="079A8F88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1.17</w:t>
            </w:r>
          </w:p>
        </w:tc>
        <w:tc>
          <w:tcPr>
            <w:tcW w:w="4997" w:type="dxa"/>
            <w:vAlign w:val="center"/>
          </w:tcPr>
          <w:p w14:paraId="4F80F706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Professional development opportunities support staff in their work with parents</w:t>
            </w:r>
          </w:p>
        </w:tc>
        <w:tc>
          <w:tcPr>
            <w:tcW w:w="645" w:type="dxa"/>
            <w:vAlign w:val="center"/>
          </w:tcPr>
          <w:p w14:paraId="219177E0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64B085EB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3CBA622F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47593CA3" w14:textId="77777777" w:rsidTr="00044990">
        <w:tc>
          <w:tcPr>
            <w:tcW w:w="709" w:type="dxa"/>
            <w:shd w:val="clear" w:color="auto" w:fill="auto"/>
            <w:vAlign w:val="center"/>
          </w:tcPr>
          <w:p w14:paraId="49018A90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1.18</w:t>
            </w:r>
          </w:p>
        </w:tc>
        <w:tc>
          <w:tcPr>
            <w:tcW w:w="4997" w:type="dxa"/>
            <w:vAlign w:val="center"/>
          </w:tcPr>
          <w:p w14:paraId="5B2D953F" w14:textId="27E8E1EB" w:rsidR="00A7212A" w:rsidRPr="00D059FA" w:rsidRDefault="00A7212A" w:rsidP="00D059FA">
            <w:pPr>
              <w:spacing w:after="200" w:line="276" w:lineRule="auto"/>
            </w:pPr>
            <w:r w:rsidRPr="00D059FA">
              <w:t>Parents are consulted about the provision, care</w:t>
            </w:r>
            <w:r w:rsidR="00601BAC">
              <w:t>,</w:t>
            </w:r>
            <w:r w:rsidRPr="00D059FA">
              <w:t xml:space="preserve"> and learning of their children</w:t>
            </w:r>
          </w:p>
        </w:tc>
        <w:tc>
          <w:tcPr>
            <w:tcW w:w="645" w:type="dxa"/>
            <w:vAlign w:val="center"/>
          </w:tcPr>
          <w:p w14:paraId="7EC3710B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2AD4A710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68A2C47F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049FAD3D" w14:textId="77777777" w:rsidTr="00CE73B0">
        <w:tc>
          <w:tcPr>
            <w:tcW w:w="709" w:type="dxa"/>
            <w:shd w:val="clear" w:color="auto" w:fill="auto"/>
            <w:vAlign w:val="center"/>
          </w:tcPr>
          <w:p w14:paraId="457826C3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1.19</w:t>
            </w:r>
          </w:p>
        </w:tc>
        <w:tc>
          <w:tcPr>
            <w:tcW w:w="4997" w:type="dxa"/>
            <w:vAlign w:val="center"/>
          </w:tcPr>
          <w:p w14:paraId="2D73CFBF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Staff work in partnership with other agencies and know where and how to signpost parents for relevant support</w:t>
            </w:r>
          </w:p>
        </w:tc>
        <w:tc>
          <w:tcPr>
            <w:tcW w:w="645" w:type="dxa"/>
            <w:vAlign w:val="center"/>
          </w:tcPr>
          <w:p w14:paraId="4EF5A21C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4058F034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3E169D5C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BB3B14" w:rsidRPr="00D059FA" w14:paraId="04DC6D06" w14:textId="77777777" w:rsidTr="00D8390A">
        <w:tc>
          <w:tcPr>
            <w:tcW w:w="14742" w:type="dxa"/>
            <w:gridSpan w:val="5"/>
            <w:shd w:val="clear" w:color="auto" w:fill="E5ECEB" w:themeFill="background2" w:themeFillTint="33"/>
            <w:vAlign w:val="center"/>
          </w:tcPr>
          <w:p w14:paraId="09F7DCC0" w14:textId="4B2ACF62" w:rsidR="00BB3B14" w:rsidRPr="00D059FA" w:rsidRDefault="00BB3B14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 xml:space="preserve">Part 2: Quality of </w:t>
            </w:r>
            <w:r>
              <w:rPr>
                <w:b/>
              </w:rPr>
              <w:t xml:space="preserve">Education                                     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 xml:space="preserve">    No                                         Actions</w:t>
            </w:r>
          </w:p>
        </w:tc>
      </w:tr>
      <w:tr w:rsidR="00A7212A" w:rsidRPr="00D059FA" w14:paraId="289FA12B" w14:textId="77777777" w:rsidTr="007B3A52">
        <w:tc>
          <w:tcPr>
            <w:tcW w:w="709" w:type="dxa"/>
            <w:shd w:val="clear" w:color="auto" w:fill="auto"/>
            <w:vAlign w:val="center"/>
          </w:tcPr>
          <w:p w14:paraId="174F264C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2.1</w:t>
            </w:r>
          </w:p>
        </w:tc>
        <w:tc>
          <w:tcPr>
            <w:tcW w:w="4997" w:type="dxa"/>
            <w:vAlign w:val="center"/>
          </w:tcPr>
          <w:p w14:paraId="527CDE0B" w14:textId="333E3B76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Staff demonstrate high and realistic expectations of </w:t>
            </w:r>
            <w:r w:rsidR="00AA305E">
              <w:t>two-year olds</w:t>
            </w:r>
            <w:r w:rsidRPr="00D059FA">
              <w:t xml:space="preserve"> </w:t>
            </w:r>
          </w:p>
        </w:tc>
        <w:tc>
          <w:tcPr>
            <w:tcW w:w="645" w:type="dxa"/>
            <w:vAlign w:val="center"/>
          </w:tcPr>
          <w:p w14:paraId="1B5F1AD3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2A94C76D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07281AFA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513E6725" w14:textId="77777777" w:rsidTr="00772722">
        <w:tc>
          <w:tcPr>
            <w:tcW w:w="709" w:type="dxa"/>
            <w:shd w:val="clear" w:color="auto" w:fill="auto"/>
            <w:vAlign w:val="center"/>
          </w:tcPr>
          <w:p w14:paraId="0EF6B8E1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2.2</w:t>
            </w:r>
          </w:p>
        </w:tc>
        <w:tc>
          <w:tcPr>
            <w:tcW w:w="4997" w:type="dxa"/>
            <w:vAlign w:val="center"/>
          </w:tcPr>
          <w:p w14:paraId="2A1F4371" w14:textId="2C2FB32A" w:rsidR="00A7212A" w:rsidRPr="00D059FA" w:rsidRDefault="00A7212A" w:rsidP="00D059FA">
            <w:pPr>
              <w:spacing w:after="200" w:line="276" w:lineRule="auto"/>
            </w:pPr>
            <w:r w:rsidRPr="00D059FA">
              <w:t>Staff show ability to tune into children in attentive ways which support children’s developing sense of security, well-being, belonging</w:t>
            </w:r>
            <w:r w:rsidR="00601BAC">
              <w:t>,</w:t>
            </w:r>
            <w:r w:rsidRPr="00D059FA">
              <w:t xml:space="preserve"> and readiness to learn</w:t>
            </w:r>
          </w:p>
        </w:tc>
        <w:tc>
          <w:tcPr>
            <w:tcW w:w="645" w:type="dxa"/>
            <w:vAlign w:val="center"/>
          </w:tcPr>
          <w:p w14:paraId="0C6B0645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00DC2BBC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5627D5B5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004E9431" w14:textId="77777777" w:rsidTr="00D22EE2">
        <w:tc>
          <w:tcPr>
            <w:tcW w:w="709" w:type="dxa"/>
            <w:shd w:val="clear" w:color="auto" w:fill="auto"/>
            <w:vAlign w:val="center"/>
          </w:tcPr>
          <w:p w14:paraId="6207C544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2.3</w:t>
            </w:r>
          </w:p>
        </w:tc>
        <w:tc>
          <w:tcPr>
            <w:tcW w:w="4997" w:type="dxa"/>
            <w:vAlign w:val="center"/>
          </w:tcPr>
          <w:p w14:paraId="5F279ED6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Staff respond with understanding and sensitivity to children’s emotional states and support their developing self-regulation</w:t>
            </w:r>
          </w:p>
        </w:tc>
        <w:tc>
          <w:tcPr>
            <w:tcW w:w="645" w:type="dxa"/>
            <w:vAlign w:val="center"/>
          </w:tcPr>
          <w:p w14:paraId="0E056F7B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01927F34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21C43C6B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5643147A" w14:textId="77777777" w:rsidTr="004C6664">
        <w:tc>
          <w:tcPr>
            <w:tcW w:w="709" w:type="dxa"/>
            <w:shd w:val="clear" w:color="auto" w:fill="auto"/>
            <w:vAlign w:val="center"/>
          </w:tcPr>
          <w:p w14:paraId="6197BB92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lastRenderedPageBreak/>
              <w:t>2.4</w:t>
            </w:r>
          </w:p>
        </w:tc>
        <w:tc>
          <w:tcPr>
            <w:tcW w:w="4997" w:type="dxa"/>
            <w:vAlign w:val="center"/>
          </w:tcPr>
          <w:p w14:paraId="1503AA7B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Key person identifies the child’s starting points and is aware of the family circumstances that may affect the parent-child relationship</w:t>
            </w:r>
          </w:p>
        </w:tc>
        <w:tc>
          <w:tcPr>
            <w:tcW w:w="645" w:type="dxa"/>
            <w:vAlign w:val="center"/>
          </w:tcPr>
          <w:p w14:paraId="48AFFBC3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225A41D5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348E6846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1AC6C424" w14:textId="77777777" w:rsidTr="0076785E">
        <w:tc>
          <w:tcPr>
            <w:tcW w:w="709" w:type="dxa"/>
            <w:shd w:val="clear" w:color="auto" w:fill="auto"/>
            <w:vAlign w:val="center"/>
          </w:tcPr>
          <w:p w14:paraId="66757E5C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2.5</w:t>
            </w:r>
          </w:p>
        </w:tc>
        <w:tc>
          <w:tcPr>
            <w:tcW w:w="4997" w:type="dxa"/>
            <w:vAlign w:val="center"/>
          </w:tcPr>
          <w:p w14:paraId="447D7ACB" w14:textId="3CF90DFA" w:rsidR="00A7212A" w:rsidRPr="00D059FA" w:rsidRDefault="00A7212A" w:rsidP="00D059FA">
            <w:pPr>
              <w:spacing w:after="200" w:line="276" w:lineRule="auto"/>
            </w:pPr>
            <w:r w:rsidRPr="00D059FA">
              <w:t>Key persons are observant of children’s preoccupations, their patterns of behaviour</w:t>
            </w:r>
            <w:r w:rsidR="003D1C41">
              <w:t>, schemas</w:t>
            </w:r>
            <w:r w:rsidR="00601BAC">
              <w:t>,</w:t>
            </w:r>
            <w:r w:rsidRPr="00D059FA">
              <w:t xml:space="preserve"> and current abilities; they use that knowledge to plan developmentally appropriate experiences that arouse children’s interest and curiosity and promote their learning further</w:t>
            </w:r>
          </w:p>
        </w:tc>
        <w:tc>
          <w:tcPr>
            <w:tcW w:w="645" w:type="dxa"/>
            <w:vAlign w:val="center"/>
          </w:tcPr>
          <w:p w14:paraId="1CDCA2C0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575C73E5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20F60FBF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7865124D" w14:textId="77777777" w:rsidTr="00356888">
        <w:tc>
          <w:tcPr>
            <w:tcW w:w="709" w:type="dxa"/>
            <w:shd w:val="clear" w:color="auto" w:fill="auto"/>
            <w:vAlign w:val="center"/>
          </w:tcPr>
          <w:p w14:paraId="565F63EE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2.6</w:t>
            </w:r>
          </w:p>
        </w:tc>
        <w:tc>
          <w:tcPr>
            <w:tcW w:w="4997" w:type="dxa"/>
            <w:vAlign w:val="center"/>
          </w:tcPr>
          <w:p w14:paraId="24898CE9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Staff carefully observe children at play and interact skilfully using strategies and vocabulary that extend children’s play and learning</w:t>
            </w:r>
          </w:p>
        </w:tc>
        <w:tc>
          <w:tcPr>
            <w:tcW w:w="645" w:type="dxa"/>
            <w:vAlign w:val="center"/>
          </w:tcPr>
          <w:p w14:paraId="4BEF8C41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3FE469A3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22F3A747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42D07F5F" w14:textId="77777777" w:rsidTr="009F5642">
        <w:tc>
          <w:tcPr>
            <w:tcW w:w="709" w:type="dxa"/>
            <w:shd w:val="clear" w:color="auto" w:fill="auto"/>
            <w:vAlign w:val="center"/>
          </w:tcPr>
          <w:p w14:paraId="587C0710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2.7</w:t>
            </w:r>
          </w:p>
        </w:tc>
        <w:tc>
          <w:tcPr>
            <w:tcW w:w="4997" w:type="dxa"/>
            <w:vAlign w:val="center"/>
          </w:tcPr>
          <w:p w14:paraId="2927CAA7" w14:textId="399A00BE" w:rsidR="00A7212A" w:rsidRPr="00D059FA" w:rsidRDefault="00A7212A" w:rsidP="00D059FA">
            <w:pPr>
              <w:spacing w:after="200" w:line="276" w:lineRule="auto"/>
            </w:pPr>
            <w:r w:rsidRPr="00D059FA">
              <w:t>Interactions in the learning environment support development of children’s physical skills, their communication and language, thinking</w:t>
            </w:r>
            <w:r w:rsidR="00601BAC">
              <w:t>,</w:t>
            </w:r>
            <w:r w:rsidRPr="00D059FA">
              <w:t xml:space="preserve"> and problem</w:t>
            </w:r>
            <w:r w:rsidR="00382E7F">
              <w:t>-</w:t>
            </w:r>
            <w:r w:rsidRPr="00D059FA">
              <w:t>solving abilities</w:t>
            </w:r>
          </w:p>
        </w:tc>
        <w:tc>
          <w:tcPr>
            <w:tcW w:w="645" w:type="dxa"/>
            <w:vAlign w:val="center"/>
          </w:tcPr>
          <w:p w14:paraId="76963A56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7C48F4FE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0CBCD1FD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223FC8FC" w14:textId="77777777" w:rsidTr="0038135F">
        <w:tc>
          <w:tcPr>
            <w:tcW w:w="709" w:type="dxa"/>
            <w:shd w:val="clear" w:color="auto" w:fill="auto"/>
            <w:vAlign w:val="center"/>
          </w:tcPr>
          <w:p w14:paraId="53B33CA6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2.8</w:t>
            </w:r>
          </w:p>
        </w:tc>
        <w:tc>
          <w:tcPr>
            <w:tcW w:w="4997" w:type="dxa"/>
            <w:vAlign w:val="center"/>
          </w:tcPr>
          <w:p w14:paraId="1E2A7DAE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Developmentally appropriate, </w:t>
            </w:r>
            <w:proofErr w:type="gramStart"/>
            <w:r w:rsidRPr="00D059FA">
              <w:t>open ended</w:t>
            </w:r>
            <w:proofErr w:type="gramEnd"/>
            <w:r w:rsidRPr="00D059FA">
              <w:t xml:space="preserve"> resources for all senses enable exploration and experimentation, indoors and out</w:t>
            </w:r>
          </w:p>
        </w:tc>
        <w:tc>
          <w:tcPr>
            <w:tcW w:w="645" w:type="dxa"/>
            <w:vAlign w:val="center"/>
          </w:tcPr>
          <w:p w14:paraId="5F2439BA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0BC77348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3F25A535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26C3F1F7" w14:textId="77777777" w:rsidTr="006B6FB3">
        <w:tc>
          <w:tcPr>
            <w:tcW w:w="709" w:type="dxa"/>
            <w:shd w:val="clear" w:color="auto" w:fill="auto"/>
            <w:vAlign w:val="center"/>
          </w:tcPr>
          <w:p w14:paraId="040E2027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2.9</w:t>
            </w:r>
          </w:p>
        </w:tc>
        <w:tc>
          <w:tcPr>
            <w:tcW w:w="4997" w:type="dxa"/>
            <w:vAlign w:val="center"/>
          </w:tcPr>
          <w:p w14:paraId="2CF418EA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Resources and activities reflect and value diversity of children’s backgrounds and experiences</w:t>
            </w:r>
          </w:p>
        </w:tc>
        <w:tc>
          <w:tcPr>
            <w:tcW w:w="645" w:type="dxa"/>
            <w:vAlign w:val="center"/>
          </w:tcPr>
          <w:p w14:paraId="2B6C8AF2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7E1B39C1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5749014E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00AA4C07" w14:textId="77777777" w:rsidTr="00552EFF">
        <w:tc>
          <w:tcPr>
            <w:tcW w:w="709" w:type="dxa"/>
            <w:shd w:val="clear" w:color="auto" w:fill="auto"/>
            <w:vAlign w:val="center"/>
          </w:tcPr>
          <w:p w14:paraId="46266866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lastRenderedPageBreak/>
              <w:t>2.10</w:t>
            </w:r>
          </w:p>
        </w:tc>
        <w:tc>
          <w:tcPr>
            <w:tcW w:w="4997" w:type="dxa"/>
            <w:vAlign w:val="center"/>
          </w:tcPr>
          <w:p w14:paraId="4A7FD876" w14:textId="641B5974" w:rsidR="00A7212A" w:rsidRPr="00D059FA" w:rsidRDefault="00A7212A" w:rsidP="00D059FA">
            <w:pPr>
              <w:spacing w:after="200" w:line="276" w:lineRule="auto"/>
            </w:pPr>
            <w:r w:rsidRPr="00D059FA">
              <w:t>Rhythm, songs, rhymes, musical beat</w:t>
            </w:r>
            <w:r w:rsidR="00601BAC">
              <w:t>,</w:t>
            </w:r>
            <w:r w:rsidRPr="00D059FA">
              <w:t xml:space="preserve"> and sound activities occur daily </w:t>
            </w:r>
          </w:p>
        </w:tc>
        <w:tc>
          <w:tcPr>
            <w:tcW w:w="645" w:type="dxa"/>
            <w:vAlign w:val="center"/>
          </w:tcPr>
          <w:p w14:paraId="25A004AE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06E04A93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52D641E2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63B9BDD8" w14:textId="77777777" w:rsidTr="00656EE9">
        <w:trPr>
          <w:trHeight w:val="1095"/>
        </w:trPr>
        <w:tc>
          <w:tcPr>
            <w:tcW w:w="709" w:type="dxa"/>
            <w:shd w:val="clear" w:color="auto" w:fill="auto"/>
            <w:vAlign w:val="center"/>
          </w:tcPr>
          <w:p w14:paraId="2033629D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2.11</w:t>
            </w:r>
          </w:p>
        </w:tc>
        <w:tc>
          <w:tcPr>
            <w:tcW w:w="4997" w:type="dxa"/>
            <w:vAlign w:val="center"/>
          </w:tcPr>
          <w:p w14:paraId="6E5AF21B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There are daily opportunities for one-to-one and small group story times</w:t>
            </w:r>
          </w:p>
        </w:tc>
        <w:tc>
          <w:tcPr>
            <w:tcW w:w="645" w:type="dxa"/>
            <w:vAlign w:val="center"/>
          </w:tcPr>
          <w:p w14:paraId="3206EFAE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4F25BDCD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77B4875C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29436610" w14:textId="77777777" w:rsidTr="000A2B30">
        <w:trPr>
          <w:trHeight w:val="1055"/>
        </w:trPr>
        <w:tc>
          <w:tcPr>
            <w:tcW w:w="709" w:type="dxa"/>
            <w:shd w:val="clear" w:color="auto" w:fill="auto"/>
            <w:vAlign w:val="center"/>
          </w:tcPr>
          <w:p w14:paraId="67B4F72F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2.12</w:t>
            </w:r>
          </w:p>
        </w:tc>
        <w:tc>
          <w:tcPr>
            <w:tcW w:w="4997" w:type="dxa"/>
            <w:vAlign w:val="center"/>
          </w:tcPr>
          <w:p w14:paraId="247BBF9C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Movement-play activities are part of a daily programme of experiences for children</w:t>
            </w:r>
          </w:p>
        </w:tc>
        <w:tc>
          <w:tcPr>
            <w:tcW w:w="645" w:type="dxa"/>
            <w:vAlign w:val="center"/>
          </w:tcPr>
          <w:p w14:paraId="3A728EFA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57E3D55A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7C9CDFD2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1F731118" w14:textId="77777777" w:rsidTr="00A66301">
        <w:tc>
          <w:tcPr>
            <w:tcW w:w="709" w:type="dxa"/>
            <w:shd w:val="clear" w:color="auto" w:fill="auto"/>
            <w:vAlign w:val="center"/>
          </w:tcPr>
          <w:p w14:paraId="19AF4783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2.13</w:t>
            </w:r>
          </w:p>
        </w:tc>
        <w:tc>
          <w:tcPr>
            <w:tcW w:w="4997" w:type="dxa"/>
            <w:vAlign w:val="center"/>
          </w:tcPr>
          <w:p w14:paraId="74571BF1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Understanding the world is supported by regular ‘out and about’ opportunities in the community</w:t>
            </w:r>
          </w:p>
        </w:tc>
        <w:tc>
          <w:tcPr>
            <w:tcW w:w="645" w:type="dxa"/>
            <w:vAlign w:val="center"/>
          </w:tcPr>
          <w:p w14:paraId="4CD7E4F6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11778750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4DB4782C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13D89E42" w14:textId="77777777" w:rsidTr="00135A87">
        <w:tc>
          <w:tcPr>
            <w:tcW w:w="709" w:type="dxa"/>
            <w:shd w:val="clear" w:color="auto" w:fill="auto"/>
            <w:vAlign w:val="center"/>
          </w:tcPr>
          <w:p w14:paraId="1C6388C8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2.14</w:t>
            </w:r>
          </w:p>
        </w:tc>
        <w:tc>
          <w:tcPr>
            <w:tcW w:w="4997" w:type="dxa"/>
            <w:vAlign w:val="center"/>
          </w:tcPr>
          <w:p w14:paraId="318329F0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Routines are focused on children as individuals and seen as valuable learning and development opportunities </w:t>
            </w:r>
          </w:p>
        </w:tc>
        <w:tc>
          <w:tcPr>
            <w:tcW w:w="645" w:type="dxa"/>
            <w:vAlign w:val="center"/>
          </w:tcPr>
          <w:p w14:paraId="0FECA865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0504D3C2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17863CD6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4B5C72A4" w14:textId="77777777" w:rsidTr="00A264AD">
        <w:tc>
          <w:tcPr>
            <w:tcW w:w="709" w:type="dxa"/>
            <w:shd w:val="clear" w:color="auto" w:fill="auto"/>
            <w:vAlign w:val="center"/>
          </w:tcPr>
          <w:p w14:paraId="783C0C83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2.15</w:t>
            </w:r>
          </w:p>
        </w:tc>
        <w:tc>
          <w:tcPr>
            <w:tcW w:w="4997" w:type="dxa"/>
            <w:vAlign w:val="center"/>
          </w:tcPr>
          <w:p w14:paraId="32B8E2D2" w14:textId="0843AE94" w:rsidR="00A7212A" w:rsidRPr="00D059FA" w:rsidRDefault="00A7212A" w:rsidP="00D059FA">
            <w:pPr>
              <w:spacing w:after="200" w:line="276" w:lineRule="auto"/>
            </w:pPr>
            <w:r w:rsidRPr="00D059FA">
              <w:t>Assessment of children’s learning and development is based on what the child can and is able to do</w:t>
            </w:r>
            <w:r w:rsidR="00601BAC">
              <w:t>,</w:t>
            </w:r>
            <w:r w:rsidRPr="00D059FA">
              <w:t xml:space="preserve"> through systematic observations of the child’s play in various contexts and their interactions with others </w:t>
            </w:r>
          </w:p>
        </w:tc>
        <w:tc>
          <w:tcPr>
            <w:tcW w:w="645" w:type="dxa"/>
            <w:vAlign w:val="center"/>
          </w:tcPr>
          <w:p w14:paraId="79E2550C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7AE5A77D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4F7B619C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4238D05A" w14:textId="77777777" w:rsidTr="00840403">
        <w:tc>
          <w:tcPr>
            <w:tcW w:w="709" w:type="dxa"/>
            <w:shd w:val="clear" w:color="auto" w:fill="auto"/>
            <w:vAlign w:val="center"/>
          </w:tcPr>
          <w:p w14:paraId="34A6D6AB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2.16</w:t>
            </w:r>
          </w:p>
        </w:tc>
        <w:tc>
          <w:tcPr>
            <w:tcW w:w="4997" w:type="dxa"/>
            <w:vAlign w:val="center"/>
          </w:tcPr>
          <w:p w14:paraId="7F8636D5" w14:textId="0511B777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Children’s learning journeys are well maintained and are </w:t>
            </w:r>
            <w:r w:rsidR="00BA41F3" w:rsidRPr="00D059FA">
              <w:t>up to date</w:t>
            </w:r>
            <w:r w:rsidR="00BA41F3">
              <w:t xml:space="preserve"> (although not onerous in time or excessive content)</w:t>
            </w:r>
            <w:r w:rsidRPr="00D059FA">
              <w:t>; they reflect each child’s characteristics of learning and progress over time</w:t>
            </w:r>
            <w:r w:rsidR="00BA41F3">
              <w:t>,</w:t>
            </w:r>
            <w:r w:rsidRPr="00D059FA">
              <w:t xml:space="preserve"> and include parental comments</w:t>
            </w:r>
          </w:p>
        </w:tc>
        <w:tc>
          <w:tcPr>
            <w:tcW w:w="645" w:type="dxa"/>
            <w:vAlign w:val="center"/>
          </w:tcPr>
          <w:p w14:paraId="5AF28BFA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25F0E6BD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5205C3E4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49F14852" w14:textId="77777777" w:rsidTr="0009786F">
        <w:tc>
          <w:tcPr>
            <w:tcW w:w="709" w:type="dxa"/>
            <w:shd w:val="clear" w:color="auto" w:fill="auto"/>
            <w:vAlign w:val="center"/>
          </w:tcPr>
          <w:p w14:paraId="189DF453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lastRenderedPageBreak/>
              <w:t>2.17</w:t>
            </w:r>
          </w:p>
        </w:tc>
        <w:tc>
          <w:tcPr>
            <w:tcW w:w="4997" w:type="dxa"/>
            <w:vAlign w:val="center"/>
          </w:tcPr>
          <w:p w14:paraId="7EB2CFA4" w14:textId="6E08594D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Children’s records of progress and summative assessment at </w:t>
            </w:r>
            <w:r w:rsidR="00BA41F3">
              <w:t xml:space="preserve">age </w:t>
            </w:r>
            <w:r w:rsidRPr="00D059FA">
              <w:t>two are discussed with the child’s parents and shared with those who need to know</w:t>
            </w:r>
            <w:r w:rsidR="00A4227B">
              <w:t xml:space="preserve"> (Health visitor, SALT etc…)</w:t>
            </w:r>
          </w:p>
        </w:tc>
        <w:tc>
          <w:tcPr>
            <w:tcW w:w="645" w:type="dxa"/>
            <w:vAlign w:val="center"/>
          </w:tcPr>
          <w:p w14:paraId="2CD4CF53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7B2269A8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0EBB7E84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2C8DA25B" w14:textId="77777777" w:rsidTr="008036A5">
        <w:tc>
          <w:tcPr>
            <w:tcW w:w="709" w:type="dxa"/>
            <w:shd w:val="clear" w:color="auto" w:fill="auto"/>
            <w:vAlign w:val="center"/>
          </w:tcPr>
          <w:p w14:paraId="48705EBC" w14:textId="60150042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bookmarkStart w:id="0" w:name="_Hlk110513531"/>
            <w:r w:rsidRPr="00D059FA">
              <w:rPr>
                <w:b/>
              </w:rPr>
              <w:t>2.18</w:t>
            </w:r>
            <w:bookmarkEnd w:id="0"/>
          </w:p>
        </w:tc>
        <w:tc>
          <w:tcPr>
            <w:tcW w:w="4997" w:type="dxa"/>
            <w:vAlign w:val="center"/>
          </w:tcPr>
          <w:p w14:paraId="19EF302F" w14:textId="00C910F0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t>Staff support and actively engage all parents in their child’s early learning at home and in the setting</w:t>
            </w:r>
            <w:r w:rsidR="00A4227B">
              <w:t xml:space="preserve"> </w:t>
            </w:r>
          </w:p>
        </w:tc>
        <w:tc>
          <w:tcPr>
            <w:tcW w:w="645" w:type="dxa"/>
            <w:vAlign w:val="center"/>
          </w:tcPr>
          <w:p w14:paraId="08184568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262B6174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4B26DA33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BB3B14" w:rsidRPr="00D059FA" w14:paraId="45A3448B" w14:textId="77777777" w:rsidTr="00D90ECA">
        <w:tc>
          <w:tcPr>
            <w:tcW w:w="14742" w:type="dxa"/>
            <w:gridSpan w:val="5"/>
            <w:shd w:val="clear" w:color="auto" w:fill="E5ECEB" w:themeFill="background2" w:themeFillTint="33"/>
            <w:vAlign w:val="center"/>
          </w:tcPr>
          <w:p w14:paraId="053E6487" w14:textId="179F4CF0" w:rsidR="00BB3B14" w:rsidRPr="00D059FA" w:rsidRDefault="00BB3B14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Part 3:</w:t>
            </w:r>
            <w:r>
              <w:rPr>
                <w:b/>
              </w:rPr>
              <w:t xml:space="preserve"> B</w:t>
            </w:r>
            <w:r w:rsidRPr="00D059FA">
              <w:rPr>
                <w:b/>
              </w:rPr>
              <w:t xml:space="preserve">ehaviour and </w:t>
            </w:r>
            <w:r>
              <w:rPr>
                <w:b/>
              </w:rPr>
              <w:t xml:space="preserve">attitudes                               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 xml:space="preserve">   No                                            Actions</w:t>
            </w:r>
          </w:p>
        </w:tc>
      </w:tr>
      <w:tr w:rsidR="00A7212A" w:rsidRPr="00D059FA" w14:paraId="6C02EA3D" w14:textId="77777777" w:rsidTr="009F7651">
        <w:trPr>
          <w:trHeight w:val="978"/>
        </w:trPr>
        <w:tc>
          <w:tcPr>
            <w:tcW w:w="709" w:type="dxa"/>
            <w:shd w:val="clear" w:color="auto" w:fill="auto"/>
            <w:vAlign w:val="center"/>
          </w:tcPr>
          <w:p w14:paraId="23895680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3.1</w:t>
            </w:r>
          </w:p>
        </w:tc>
        <w:tc>
          <w:tcPr>
            <w:tcW w:w="4997" w:type="dxa"/>
            <w:vAlign w:val="center"/>
          </w:tcPr>
          <w:p w14:paraId="66C82358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There is a child-centred rhythm in the organisation of the day</w:t>
            </w:r>
          </w:p>
        </w:tc>
        <w:tc>
          <w:tcPr>
            <w:tcW w:w="645" w:type="dxa"/>
            <w:vAlign w:val="center"/>
          </w:tcPr>
          <w:p w14:paraId="2700E5AD" w14:textId="77777777" w:rsidR="00A7212A" w:rsidRPr="00D059FA" w:rsidRDefault="00A7212A" w:rsidP="00D059FA"/>
        </w:tc>
        <w:tc>
          <w:tcPr>
            <w:tcW w:w="600" w:type="dxa"/>
            <w:vAlign w:val="center"/>
          </w:tcPr>
          <w:p w14:paraId="6877D73E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2519DB68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3966EC2E" w14:textId="77777777" w:rsidTr="007F6AA3">
        <w:tc>
          <w:tcPr>
            <w:tcW w:w="709" w:type="dxa"/>
            <w:shd w:val="clear" w:color="auto" w:fill="auto"/>
            <w:vAlign w:val="center"/>
          </w:tcPr>
          <w:p w14:paraId="46E10E9C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3.2</w:t>
            </w:r>
          </w:p>
        </w:tc>
        <w:tc>
          <w:tcPr>
            <w:tcW w:w="4997" w:type="dxa"/>
            <w:vAlign w:val="center"/>
          </w:tcPr>
          <w:p w14:paraId="42FA589A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Children have time and space to enjoy the environment safely and be absorbed in their flow of learning</w:t>
            </w:r>
          </w:p>
        </w:tc>
        <w:tc>
          <w:tcPr>
            <w:tcW w:w="645" w:type="dxa"/>
            <w:vAlign w:val="center"/>
          </w:tcPr>
          <w:p w14:paraId="1925F54C" w14:textId="77777777" w:rsidR="00A7212A" w:rsidRPr="00D059FA" w:rsidRDefault="00A7212A" w:rsidP="00C37D9C"/>
        </w:tc>
        <w:tc>
          <w:tcPr>
            <w:tcW w:w="600" w:type="dxa"/>
            <w:vAlign w:val="center"/>
          </w:tcPr>
          <w:p w14:paraId="604026EB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6ACF9A7F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0006B5AB" w14:textId="77777777" w:rsidTr="008051B4">
        <w:tc>
          <w:tcPr>
            <w:tcW w:w="709" w:type="dxa"/>
            <w:shd w:val="clear" w:color="auto" w:fill="auto"/>
            <w:vAlign w:val="center"/>
          </w:tcPr>
          <w:p w14:paraId="3C7F65DF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3.3</w:t>
            </w:r>
          </w:p>
        </w:tc>
        <w:tc>
          <w:tcPr>
            <w:tcW w:w="4997" w:type="dxa"/>
            <w:vAlign w:val="center"/>
          </w:tcPr>
          <w:p w14:paraId="7E73E896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Resources are plentiful to minimise conflicting situations</w:t>
            </w:r>
          </w:p>
        </w:tc>
        <w:tc>
          <w:tcPr>
            <w:tcW w:w="645" w:type="dxa"/>
            <w:vAlign w:val="center"/>
          </w:tcPr>
          <w:p w14:paraId="3FAEB4C2" w14:textId="77777777" w:rsidR="00A7212A" w:rsidRPr="00C37D9C" w:rsidRDefault="00A7212A" w:rsidP="00C37D9C"/>
        </w:tc>
        <w:tc>
          <w:tcPr>
            <w:tcW w:w="600" w:type="dxa"/>
            <w:vAlign w:val="center"/>
          </w:tcPr>
          <w:p w14:paraId="2C595078" w14:textId="77777777" w:rsidR="00A7212A" w:rsidRPr="00C37D9C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763C3D40" w14:textId="77777777" w:rsidR="00A7212A" w:rsidRPr="00C37D9C" w:rsidRDefault="00A7212A" w:rsidP="00D059FA">
            <w:pPr>
              <w:spacing w:after="200" w:line="276" w:lineRule="auto"/>
            </w:pPr>
          </w:p>
        </w:tc>
      </w:tr>
      <w:tr w:rsidR="00A7212A" w:rsidRPr="00D059FA" w14:paraId="367E5B4F" w14:textId="77777777" w:rsidTr="00B36431">
        <w:tc>
          <w:tcPr>
            <w:tcW w:w="709" w:type="dxa"/>
            <w:shd w:val="clear" w:color="auto" w:fill="auto"/>
            <w:vAlign w:val="center"/>
          </w:tcPr>
          <w:p w14:paraId="1C740683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3.4</w:t>
            </w:r>
          </w:p>
        </w:tc>
        <w:tc>
          <w:tcPr>
            <w:tcW w:w="4997" w:type="dxa"/>
            <w:vAlign w:val="center"/>
          </w:tcPr>
          <w:p w14:paraId="2A2A9B92" w14:textId="181C7501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Resources are placed at </w:t>
            </w:r>
            <w:r w:rsidR="00BA41F3">
              <w:t xml:space="preserve">a </w:t>
            </w:r>
            <w:r w:rsidRPr="00D059FA">
              <w:t>child’s level allowing them to help themselves. Adults ensure safety of activities and environment</w:t>
            </w:r>
          </w:p>
        </w:tc>
        <w:tc>
          <w:tcPr>
            <w:tcW w:w="645" w:type="dxa"/>
            <w:vAlign w:val="center"/>
          </w:tcPr>
          <w:p w14:paraId="3F9EF832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50A46CEE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7A194523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71D9AD26" w14:textId="77777777" w:rsidTr="00AF5471">
        <w:tc>
          <w:tcPr>
            <w:tcW w:w="709" w:type="dxa"/>
            <w:shd w:val="clear" w:color="auto" w:fill="auto"/>
            <w:vAlign w:val="center"/>
          </w:tcPr>
          <w:p w14:paraId="2881A876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3.5</w:t>
            </w:r>
          </w:p>
        </w:tc>
        <w:tc>
          <w:tcPr>
            <w:tcW w:w="4997" w:type="dxa"/>
            <w:vAlign w:val="center"/>
          </w:tcPr>
          <w:p w14:paraId="11288AA4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Children have a genuine choice about how to use materials in provided activities</w:t>
            </w:r>
          </w:p>
        </w:tc>
        <w:tc>
          <w:tcPr>
            <w:tcW w:w="645" w:type="dxa"/>
            <w:vAlign w:val="center"/>
          </w:tcPr>
          <w:p w14:paraId="5B5B6BE6" w14:textId="77777777" w:rsidR="00A7212A" w:rsidRPr="00D059FA" w:rsidRDefault="00A7212A" w:rsidP="00C37D9C"/>
        </w:tc>
        <w:tc>
          <w:tcPr>
            <w:tcW w:w="600" w:type="dxa"/>
            <w:vAlign w:val="center"/>
          </w:tcPr>
          <w:p w14:paraId="5D474AD8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44E72094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1CD22853" w14:textId="77777777" w:rsidTr="007A17FF">
        <w:tc>
          <w:tcPr>
            <w:tcW w:w="709" w:type="dxa"/>
            <w:shd w:val="clear" w:color="auto" w:fill="auto"/>
            <w:vAlign w:val="center"/>
          </w:tcPr>
          <w:p w14:paraId="46D46D69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lastRenderedPageBreak/>
              <w:t>3.6</w:t>
            </w:r>
          </w:p>
        </w:tc>
        <w:tc>
          <w:tcPr>
            <w:tcW w:w="4997" w:type="dxa"/>
            <w:vAlign w:val="center"/>
          </w:tcPr>
          <w:p w14:paraId="5E76307B" w14:textId="3F9A1F06" w:rsidR="00A7212A" w:rsidRPr="00D059FA" w:rsidRDefault="00A7212A" w:rsidP="00D059FA">
            <w:pPr>
              <w:spacing w:after="200" w:line="276" w:lineRule="auto"/>
            </w:pPr>
            <w:r w:rsidRPr="00D059FA">
              <w:t>Children have opportunities to return to ‘work in progress’ and continue to learn through repetition and extension of experiences</w:t>
            </w:r>
          </w:p>
        </w:tc>
        <w:tc>
          <w:tcPr>
            <w:tcW w:w="645" w:type="dxa"/>
            <w:vAlign w:val="center"/>
          </w:tcPr>
          <w:p w14:paraId="772EC8A1" w14:textId="77777777" w:rsidR="00A7212A" w:rsidRPr="00C37D9C" w:rsidRDefault="00A7212A" w:rsidP="00C37D9C"/>
        </w:tc>
        <w:tc>
          <w:tcPr>
            <w:tcW w:w="600" w:type="dxa"/>
            <w:vAlign w:val="center"/>
          </w:tcPr>
          <w:p w14:paraId="58D3C28C" w14:textId="77777777" w:rsidR="00A7212A" w:rsidRPr="00C37D9C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4DCBC1AF" w14:textId="77777777" w:rsidR="00A7212A" w:rsidRPr="00C37D9C" w:rsidRDefault="00A7212A" w:rsidP="00D059FA">
            <w:pPr>
              <w:spacing w:after="200" w:line="276" w:lineRule="auto"/>
            </w:pPr>
          </w:p>
        </w:tc>
      </w:tr>
      <w:tr w:rsidR="00A7212A" w:rsidRPr="00D059FA" w14:paraId="1881E869" w14:textId="77777777" w:rsidTr="00610572">
        <w:tc>
          <w:tcPr>
            <w:tcW w:w="709" w:type="dxa"/>
            <w:shd w:val="clear" w:color="auto" w:fill="auto"/>
            <w:vAlign w:val="center"/>
          </w:tcPr>
          <w:p w14:paraId="4561B226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3.7</w:t>
            </w:r>
          </w:p>
        </w:tc>
        <w:tc>
          <w:tcPr>
            <w:tcW w:w="4997" w:type="dxa"/>
            <w:vAlign w:val="center"/>
          </w:tcPr>
          <w:p w14:paraId="4FFC25E8" w14:textId="6DDEF771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There are visual images and aids to promote a sense of belonging, aid choice making, </w:t>
            </w:r>
            <w:r w:rsidR="00601BAC">
              <w:t xml:space="preserve">and </w:t>
            </w:r>
            <w:r w:rsidRPr="00D059FA">
              <w:t>support communication and understanding of daily patterns</w:t>
            </w:r>
          </w:p>
        </w:tc>
        <w:tc>
          <w:tcPr>
            <w:tcW w:w="645" w:type="dxa"/>
            <w:vAlign w:val="center"/>
          </w:tcPr>
          <w:p w14:paraId="174727C6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1FCD9F63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7600D1EA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6B87716A" w14:textId="77777777" w:rsidTr="008330C7">
        <w:tc>
          <w:tcPr>
            <w:tcW w:w="709" w:type="dxa"/>
            <w:shd w:val="clear" w:color="auto" w:fill="auto"/>
            <w:vAlign w:val="center"/>
          </w:tcPr>
          <w:p w14:paraId="4ABDB4EC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3.8</w:t>
            </w:r>
          </w:p>
        </w:tc>
        <w:tc>
          <w:tcPr>
            <w:tcW w:w="4997" w:type="dxa"/>
            <w:vAlign w:val="center"/>
          </w:tcPr>
          <w:p w14:paraId="6AD2A516" w14:textId="77777777" w:rsidR="00A7212A" w:rsidRPr="00D059FA" w:rsidRDefault="00A7212A" w:rsidP="00C37D9C">
            <w:pPr>
              <w:spacing w:after="200" w:line="276" w:lineRule="auto"/>
            </w:pPr>
            <w:r w:rsidRPr="00D059FA">
              <w:t>Access to outdoor space enables free flow between indoors and outdoors, offering plenty of opportunities for physical movement and extended periods of play and learning outside</w:t>
            </w:r>
          </w:p>
        </w:tc>
        <w:tc>
          <w:tcPr>
            <w:tcW w:w="645" w:type="dxa"/>
            <w:vAlign w:val="center"/>
          </w:tcPr>
          <w:p w14:paraId="2E1437A7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58A7C27B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4ECEB876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75769BC0" w14:textId="77777777" w:rsidTr="0069373B">
        <w:tc>
          <w:tcPr>
            <w:tcW w:w="709" w:type="dxa"/>
            <w:shd w:val="clear" w:color="auto" w:fill="auto"/>
            <w:vAlign w:val="center"/>
          </w:tcPr>
          <w:p w14:paraId="4616D496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3.9</w:t>
            </w:r>
          </w:p>
        </w:tc>
        <w:tc>
          <w:tcPr>
            <w:tcW w:w="4997" w:type="dxa"/>
            <w:vAlign w:val="center"/>
          </w:tcPr>
          <w:p w14:paraId="74E659AD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There is comfortable seating for adults and children for one-to-one story times  </w:t>
            </w:r>
          </w:p>
        </w:tc>
        <w:tc>
          <w:tcPr>
            <w:tcW w:w="645" w:type="dxa"/>
            <w:vAlign w:val="center"/>
          </w:tcPr>
          <w:p w14:paraId="440B4439" w14:textId="77777777" w:rsidR="00A7212A" w:rsidRPr="00D059FA" w:rsidRDefault="00A7212A" w:rsidP="00C37D9C"/>
        </w:tc>
        <w:tc>
          <w:tcPr>
            <w:tcW w:w="600" w:type="dxa"/>
            <w:vAlign w:val="center"/>
          </w:tcPr>
          <w:p w14:paraId="7F451AA4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625BC3E2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10250AF0" w14:textId="77777777" w:rsidTr="00BE4A9A">
        <w:tc>
          <w:tcPr>
            <w:tcW w:w="709" w:type="dxa"/>
            <w:shd w:val="clear" w:color="auto" w:fill="auto"/>
            <w:vAlign w:val="center"/>
          </w:tcPr>
          <w:p w14:paraId="62420F1B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3.10</w:t>
            </w:r>
          </w:p>
        </w:tc>
        <w:tc>
          <w:tcPr>
            <w:tcW w:w="4997" w:type="dxa"/>
            <w:vAlign w:val="center"/>
          </w:tcPr>
          <w:p w14:paraId="1B4A707A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Cosy spaces are created as ‘my space’ for quiet individual times or being with others</w:t>
            </w:r>
          </w:p>
        </w:tc>
        <w:tc>
          <w:tcPr>
            <w:tcW w:w="645" w:type="dxa"/>
            <w:vAlign w:val="center"/>
          </w:tcPr>
          <w:p w14:paraId="11C9C0DB" w14:textId="77777777" w:rsidR="00A7212A" w:rsidRPr="00C37D9C" w:rsidRDefault="00A7212A" w:rsidP="00C37D9C"/>
        </w:tc>
        <w:tc>
          <w:tcPr>
            <w:tcW w:w="600" w:type="dxa"/>
            <w:vAlign w:val="center"/>
          </w:tcPr>
          <w:p w14:paraId="03F83E72" w14:textId="77777777" w:rsidR="00A7212A" w:rsidRPr="00C37D9C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053CFF91" w14:textId="77777777" w:rsidR="00A7212A" w:rsidRPr="00C37D9C" w:rsidRDefault="00A7212A" w:rsidP="00D059FA">
            <w:pPr>
              <w:spacing w:after="200" w:line="276" w:lineRule="auto"/>
            </w:pPr>
          </w:p>
        </w:tc>
      </w:tr>
      <w:tr w:rsidR="00A7212A" w:rsidRPr="00D059FA" w14:paraId="2A64B519" w14:textId="77777777" w:rsidTr="006703E0">
        <w:tc>
          <w:tcPr>
            <w:tcW w:w="709" w:type="dxa"/>
            <w:shd w:val="clear" w:color="auto" w:fill="auto"/>
            <w:vAlign w:val="center"/>
          </w:tcPr>
          <w:p w14:paraId="78214192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3.11</w:t>
            </w:r>
          </w:p>
        </w:tc>
        <w:tc>
          <w:tcPr>
            <w:tcW w:w="4997" w:type="dxa"/>
            <w:vAlign w:val="center"/>
          </w:tcPr>
          <w:p w14:paraId="2EDD7A92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There are opportunities for peer learning in a mixed age group</w:t>
            </w:r>
          </w:p>
        </w:tc>
        <w:tc>
          <w:tcPr>
            <w:tcW w:w="645" w:type="dxa"/>
            <w:vAlign w:val="center"/>
          </w:tcPr>
          <w:p w14:paraId="01B408B0" w14:textId="77777777" w:rsidR="00A7212A" w:rsidRPr="00D059FA" w:rsidRDefault="00A7212A" w:rsidP="00C37D9C"/>
        </w:tc>
        <w:tc>
          <w:tcPr>
            <w:tcW w:w="600" w:type="dxa"/>
            <w:vAlign w:val="center"/>
          </w:tcPr>
          <w:p w14:paraId="72BDECA6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7982CFA4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31972006" w14:textId="77777777" w:rsidTr="002F05F3">
        <w:tc>
          <w:tcPr>
            <w:tcW w:w="709" w:type="dxa"/>
            <w:shd w:val="clear" w:color="auto" w:fill="auto"/>
            <w:vAlign w:val="center"/>
          </w:tcPr>
          <w:p w14:paraId="748456EC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3.12</w:t>
            </w:r>
          </w:p>
        </w:tc>
        <w:tc>
          <w:tcPr>
            <w:tcW w:w="4997" w:type="dxa"/>
            <w:vAlign w:val="center"/>
          </w:tcPr>
          <w:p w14:paraId="14078995" w14:textId="545E182A" w:rsidR="00A7212A" w:rsidRPr="00D059FA" w:rsidRDefault="00196248" w:rsidP="00D059FA">
            <w:pPr>
              <w:spacing w:after="200" w:line="276" w:lineRule="auto"/>
            </w:pPr>
            <w:r>
              <w:t>Children are supported in naming feelings and manging behaviour through co-regulation leading to self-regulation</w:t>
            </w:r>
          </w:p>
        </w:tc>
        <w:tc>
          <w:tcPr>
            <w:tcW w:w="645" w:type="dxa"/>
            <w:vAlign w:val="center"/>
          </w:tcPr>
          <w:p w14:paraId="0035D7B3" w14:textId="77777777" w:rsidR="00A7212A" w:rsidRPr="00C37D9C" w:rsidRDefault="00A7212A" w:rsidP="00C37D9C"/>
        </w:tc>
        <w:tc>
          <w:tcPr>
            <w:tcW w:w="600" w:type="dxa"/>
            <w:vAlign w:val="center"/>
          </w:tcPr>
          <w:p w14:paraId="2CA094D7" w14:textId="77777777" w:rsidR="00A7212A" w:rsidRPr="00C37D9C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2EF2BF06" w14:textId="77777777" w:rsidR="00A7212A" w:rsidRPr="00C37D9C" w:rsidRDefault="00A7212A" w:rsidP="00D059FA">
            <w:pPr>
              <w:spacing w:after="200" w:line="276" w:lineRule="auto"/>
            </w:pPr>
          </w:p>
        </w:tc>
      </w:tr>
      <w:tr w:rsidR="00A7212A" w:rsidRPr="00D059FA" w14:paraId="1277FCC9" w14:textId="77777777" w:rsidTr="00B44E2D">
        <w:tc>
          <w:tcPr>
            <w:tcW w:w="709" w:type="dxa"/>
            <w:shd w:val="clear" w:color="auto" w:fill="auto"/>
            <w:vAlign w:val="center"/>
          </w:tcPr>
          <w:p w14:paraId="0DB44DAA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3.13</w:t>
            </w:r>
          </w:p>
        </w:tc>
        <w:tc>
          <w:tcPr>
            <w:tcW w:w="4997" w:type="dxa"/>
            <w:vAlign w:val="center"/>
          </w:tcPr>
          <w:p w14:paraId="5914312C" w14:textId="7D42B7BB" w:rsidR="00A7212A" w:rsidRPr="00D059FA" w:rsidRDefault="00196248" w:rsidP="00D059FA">
            <w:pPr>
              <w:spacing w:after="200" w:line="276" w:lineRule="auto"/>
            </w:pPr>
            <w:r>
              <w:t xml:space="preserve">Children and adults enjoy fun activities together with adults scaffolding and </w:t>
            </w:r>
            <w:r>
              <w:lastRenderedPageBreak/>
              <w:t>modelling good behaviour, attitudes</w:t>
            </w:r>
            <w:r w:rsidR="005D6644">
              <w:t>,</w:t>
            </w:r>
            <w:r>
              <w:t xml:space="preserve"> and learning.</w:t>
            </w:r>
          </w:p>
        </w:tc>
        <w:tc>
          <w:tcPr>
            <w:tcW w:w="645" w:type="dxa"/>
            <w:vAlign w:val="center"/>
          </w:tcPr>
          <w:p w14:paraId="76AF4A96" w14:textId="77777777" w:rsidR="00A7212A" w:rsidRPr="00D059FA" w:rsidRDefault="00A7212A" w:rsidP="00C37D9C"/>
        </w:tc>
        <w:tc>
          <w:tcPr>
            <w:tcW w:w="600" w:type="dxa"/>
            <w:vAlign w:val="center"/>
          </w:tcPr>
          <w:p w14:paraId="3DCD4205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42675D6D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1397EC8B" w14:textId="77777777" w:rsidTr="00BA7AC8">
        <w:tc>
          <w:tcPr>
            <w:tcW w:w="709" w:type="dxa"/>
            <w:shd w:val="clear" w:color="auto" w:fill="auto"/>
            <w:vAlign w:val="center"/>
          </w:tcPr>
          <w:p w14:paraId="20296ADC" w14:textId="77777777" w:rsidR="00A7212A" w:rsidRPr="00D059FA" w:rsidRDefault="00A7212A" w:rsidP="00D059FA">
            <w:pPr>
              <w:spacing w:after="200" w:line="276" w:lineRule="auto"/>
              <w:rPr>
                <w:b/>
              </w:rPr>
            </w:pPr>
            <w:r w:rsidRPr="00D059FA">
              <w:rPr>
                <w:b/>
              </w:rPr>
              <w:t>3.14</w:t>
            </w:r>
          </w:p>
        </w:tc>
        <w:tc>
          <w:tcPr>
            <w:tcW w:w="4997" w:type="dxa"/>
            <w:vAlign w:val="center"/>
          </w:tcPr>
          <w:p w14:paraId="6FF54A78" w14:textId="30CF9D4A" w:rsidR="00A7212A" w:rsidRPr="00D059FA" w:rsidRDefault="00196248" w:rsidP="00D059FA">
            <w:pPr>
              <w:spacing w:after="200" w:line="276" w:lineRule="auto"/>
            </w:pPr>
            <w:r>
              <w:t xml:space="preserve">Activities provided are interesting and engaging and support </w:t>
            </w:r>
            <w:r w:rsidR="00F83B0C">
              <w:t xml:space="preserve">appropriate </w:t>
            </w:r>
            <w:r>
              <w:t>challenge</w:t>
            </w:r>
          </w:p>
        </w:tc>
        <w:tc>
          <w:tcPr>
            <w:tcW w:w="645" w:type="dxa"/>
            <w:vAlign w:val="center"/>
          </w:tcPr>
          <w:p w14:paraId="3036C18D" w14:textId="77777777" w:rsidR="00A7212A" w:rsidRPr="00C37D9C" w:rsidRDefault="00A7212A" w:rsidP="00C37D9C"/>
        </w:tc>
        <w:tc>
          <w:tcPr>
            <w:tcW w:w="600" w:type="dxa"/>
            <w:vAlign w:val="center"/>
          </w:tcPr>
          <w:p w14:paraId="3FABFDB0" w14:textId="77777777" w:rsidR="00A7212A" w:rsidRPr="00C37D9C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04D5A7ED" w14:textId="77777777" w:rsidR="00A7212A" w:rsidRPr="00C37D9C" w:rsidRDefault="00A7212A" w:rsidP="00D059FA">
            <w:pPr>
              <w:spacing w:after="200" w:line="276" w:lineRule="auto"/>
            </w:pPr>
          </w:p>
        </w:tc>
      </w:tr>
      <w:tr w:rsidR="00BB3B14" w:rsidRPr="00D059FA" w14:paraId="607A37C7" w14:textId="77777777" w:rsidTr="00CF48EB">
        <w:tc>
          <w:tcPr>
            <w:tcW w:w="14742" w:type="dxa"/>
            <w:gridSpan w:val="5"/>
            <w:shd w:val="clear" w:color="auto" w:fill="E5ECEB" w:themeFill="background2" w:themeFillTint="33"/>
            <w:vAlign w:val="center"/>
          </w:tcPr>
          <w:p w14:paraId="685A04E2" w14:textId="49070668" w:rsidR="00BB3B14" w:rsidRPr="009C5B5F" w:rsidRDefault="00BB3B14" w:rsidP="00D059FA">
            <w:pPr>
              <w:rPr>
                <w:b/>
                <w:bCs/>
              </w:rPr>
            </w:pPr>
            <w:r w:rsidRPr="009C5B5F">
              <w:rPr>
                <w:b/>
              </w:rPr>
              <w:t>Part 4</w:t>
            </w:r>
            <w:r>
              <w:rPr>
                <w:bCs/>
              </w:rPr>
              <w:t xml:space="preserve">: </w:t>
            </w:r>
            <w:r>
              <w:rPr>
                <w:b/>
                <w:bCs/>
              </w:rPr>
              <w:t xml:space="preserve">Personal Development                                  </w:t>
            </w:r>
            <w:proofErr w:type="gramStart"/>
            <w:r>
              <w:rPr>
                <w:b/>
                <w:bCs/>
              </w:rPr>
              <w:t>Yes</w:t>
            </w:r>
            <w:proofErr w:type="gramEnd"/>
            <w:r>
              <w:rPr>
                <w:b/>
                <w:bCs/>
              </w:rPr>
              <w:t xml:space="preserve">    No                                              Actions</w:t>
            </w:r>
          </w:p>
        </w:tc>
      </w:tr>
      <w:tr w:rsidR="009C5B5F" w:rsidRPr="00D059FA" w14:paraId="43F8B063" w14:textId="77777777" w:rsidTr="006649F7">
        <w:tc>
          <w:tcPr>
            <w:tcW w:w="709" w:type="dxa"/>
            <w:shd w:val="clear" w:color="auto" w:fill="auto"/>
            <w:vAlign w:val="center"/>
          </w:tcPr>
          <w:p w14:paraId="3278BB30" w14:textId="0405626D" w:rsidR="009C5B5F" w:rsidRPr="00D059FA" w:rsidRDefault="00196248" w:rsidP="00D059FA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997" w:type="dxa"/>
            <w:vAlign w:val="center"/>
          </w:tcPr>
          <w:p w14:paraId="5CB1E106" w14:textId="72181A17" w:rsidR="009C5B5F" w:rsidRPr="00D059FA" w:rsidRDefault="00196248" w:rsidP="00D059FA">
            <w:r>
              <w:t>Children are actively supported in developing social skills and friendships</w:t>
            </w:r>
          </w:p>
        </w:tc>
        <w:tc>
          <w:tcPr>
            <w:tcW w:w="645" w:type="dxa"/>
            <w:vAlign w:val="center"/>
          </w:tcPr>
          <w:p w14:paraId="2F12930D" w14:textId="77777777" w:rsidR="009C5B5F" w:rsidRPr="00C37D9C" w:rsidRDefault="009C5B5F" w:rsidP="00D059FA"/>
        </w:tc>
        <w:tc>
          <w:tcPr>
            <w:tcW w:w="600" w:type="dxa"/>
            <w:vAlign w:val="center"/>
          </w:tcPr>
          <w:p w14:paraId="76A01477" w14:textId="77777777" w:rsidR="009C5B5F" w:rsidRPr="00C37D9C" w:rsidRDefault="009C5B5F" w:rsidP="00D059FA"/>
        </w:tc>
        <w:tc>
          <w:tcPr>
            <w:tcW w:w="7791" w:type="dxa"/>
            <w:vAlign w:val="center"/>
          </w:tcPr>
          <w:p w14:paraId="763E02A7" w14:textId="77777777" w:rsidR="009C5B5F" w:rsidRPr="00C37D9C" w:rsidRDefault="009C5B5F" w:rsidP="00D059FA"/>
        </w:tc>
      </w:tr>
      <w:tr w:rsidR="00196248" w:rsidRPr="00D059FA" w14:paraId="56622A59" w14:textId="77777777" w:rsidTr="006649F7">
        <w:tc>
          <w:tcPr>
            <w:tcW w:w="709" w:type="dxa"/>
            <w:shd w:val="clear" w:color="auto" w:fill="auto"/>
            <w:vAlign w:val="center"/>
          </w:tcPr>
          <w:p w14:paraId="71419585" w14:textId="4C329D5F" w:rsidR="00196248" w:rsidRDefault="00196248" w:rsidP="00D059FA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4997" w:type="dxa"/>
            <w:vAlign w:val="center"/>
          </w:tcPr>
          <w:p w14:paraId="7C1213F0" w14:textId="0627F97E" w:rsidR="00196248" w:rsidRDefault="00196248" w:rsidP="00D059FA">
            <w:r>
              <w:t xml:space="preserve">Support and attention are given during personal care routines by the child’s key person </w:t>
            </w:r>
            <w:r w:rsidR="005D6644">
              <w:t>e.g.,</w:t>
            </w:r>
            <w:r>
              <w:t xml:space="preserve"> toileting, washing, changing, brushing teeth, dressing</w:t>
            </w:r>
            <w:r w:rsidR="00A4227B">
              <w:t xml:space="preserve"> </w:t>
            </w:r>
          </w:p>
        </w:tc>
        <w:tc>
          <w:tcPr>
            <w:tcW w:w="645" w:type="dxa"/>
            <w:vAlign w:val="center"/>
          </w:tcPr>
          <w:p w14:paraId="5C93CB82" w14:textId="77777777" w:rsidR="00196248" w:rsidRPr="00C37D9C" w:rsidRDefault="00196248" w:rsidP="00D059FA"/>
        </w:tc>
        <w:tc>
          <w:tcPr>
            <w:tcW w:w="600" w:type="dxa"/>
            <w:vAlign w:val="center"/>
          </w:tcPr>
          <w:p w14:paraId="2CF314AB" w14:textId="77777777" w:rsidR="00196248" w:rsidRPr="00C37D9C" w:rsidRDefault="00196248" w:rsidP="00D059FA"/>
        </w:tc>
        <w:tc>
          <w:tcPr>
            <w:tcW w:w="7791" w:type="dxa"/>
            <w:vAlign w:val="center"/>
          </w:tcPr>
          <w:p w14:paraId="046CA0D1" w14:textId="77777777" w:rsidR="00196248" w:rsidRPr="00C37D9C" w:rsidRDefault="00196248" w:rsidP="00D059FA"/>
        </w:tc>
      </w:tr>
      <w:tr w:rsidR="00196248" w:rsidRPr="00D059FA" w14:paraId="0A25F45A" w14:textId="77777777" w:rsidTr="006649F7">
        <w:tc>
          <w:tcPr>
            <w:tcW w:w="709" w:type="dxa"/>
            <w:shd w:val="clear" w:color="auto" w:fill="auto"/>
            <w:vAlign w:val="center"/>
          </w:tcPr>
          <w:p w14:paraId="2AC7E6F9" w14:textId="1AE3EBE5" w:rsidR="00196248" w:rsidRDefault="00196248" w:rsidP="00D059FA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4997" w:type="dxa"/>
            <w:vAlign w:val="center"/>
          </w:tcPr>
          <w:p w14:paraId="51F4A1E5" w14:textId="3AD55CB4" w:rsidR="00196248" w:rsidRDefault="00196248" w:rsidP="00D059FA">
            <w:r>
              <w:t>Children are encouraged as “helpers” in daily activities</w:t>
            </w:r>
          </w:p>
        </w:tc>
        <w:tc>
          <w:tcPr>
            <w:tcW w:w="645" w:type="dxa"/>
            <w:vAlign w:val="center"/>
          </w:tcPr>
          <w:p w14:paraId="30F3A256" w14:textId="77777777" w:rsidR="00196248" w:rsidRPr="00C37D9C" w:rsidRDefault="00196248" w:rsidP="00D059FA"/>
        </w:tc>
        <w:tc>
          <w:tcPr>
            <w:tcW w:w="600" w:type="dxa"/>
            <w:vAlign w:val="center"/>
          </w:tcPr>
          <w:p w14:paraId="0DA79669" w14:textId="77777777" w:rsidR="00196248" w:rsidRPr="00C37D9C" w:rsidRDefault="00196248" w:rsidP="00D059FA"/>
        </w:tc>
        <w:tc>
          <w:tcPr>
            <w:tcW w:w="7791" w:type="dxa"/>
            <w:vAlign w:val="center"/>
          </w:tcPr>
          <w:p w14:paraId="7141F376" w14:textId="77777777" w:rsidR="00196248" w:rsidRPr="00C37D9C" w:rsidRDefault="00196248" w:rsidP="00D059FA"/>
        </w:tc>
      </w:tr>
      <w:tr w:rsidR="00196248" w:rsidRPr="00D059FA" w14:paraId="6A89052D" w14:textId="77777777" w:rsidTr="006649F7">
        <w:tc>
          <w:tcPr>
            <w:tcW w:w="709" w:type="dxa"/>
            <w:shd w:val="clear" w:color="auto" w:fill="auto"/>
            <w:vAlign w:val="center"/>
          </w:tcPr>
          <w:p w14:paraId="60803EF4" w14:textId="157E89A7" w:rsidR="00196248" w:rsidRDefault="00196248" w:rsidP="00D059FA">
            <w:pPr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4997" w:type="dxa"/>
            <w:vAlign w:val="center"/>
          </w:tcPr>
          <w:p w14:paraId="32FC0D54" w14:textId="70D2644C" w:rsidR="00196248" w:rsidRDefault="00196248" w:rsidP="00D059FA">
            <w:r>
              <w:t>Children are given time and encouragement to support their growing independence in managing tasks.</w:t>
            </w:r>
          </w:p>
        </w:tc>
        <w:tc>
          <w:tcPr>
            <w:tcW w:w="645" w:type="dxa"/>
            <w:vAlign w:val="center"/>
          </w:tcPr>
          <w:p w14:paraId="0A981E92" w14:textId="77777777" w:rsidR="00196248" w:rsidRPr="00C37D9C" w:rsidRDefault="00196248" w:rsidP="00D059FA"/>
        </w:tc>
        <w:tc>
          <w:tcPr>
            <w:tcW w:w="600" w:type="dxa"/>
            <w:vAlign w:val="center"/>
          </w:tcPr>
          <w:p w14:paraId="08D96C5B" w14:textId="77777777" w:rsidR="00196248" w:rsidRPr="00C37D9C" w:rsidRDefault="00196248" w:rsidP="00D059FA"/>
        </w:tc>
        <w:tc>
          <w:tcPr>
            <w:tcW w:w="7791" w:type="dxa"/>
            <w:vAlign w:val="center"/>
          </w:tcPr>
          <w:p w14:paraId="181EA412" w14:textId="77777777" w:rsidR="00196248" w:rsidRPr="00C37D9C" w:rsidRDefault="00196248" w:rsidP="00D059FA"/>
        </w:tc>
      </w:tr>
      <w:tr w:rsidR="00196248" w:rsidRPr="00D059FA" w14:paraId="0E9D08A9" w14:textId="77777777" w:rsidTr="006649F7">
        <w:tc>
          <w:tcPr>
            <w:tcW w:w="709" w:type="dxa"/>
            <w:shd w:val="clear" w:color="auto" w:fill="auto"/>
            <w:vAlign w:val="center"/>
          </w:tcPr>
          <w:p w14:paraId="6ACB2983" w14:textId="2A125E6C" w:rsidR="00196248" w:rsidRDefault="00196248" w:rsidP="00D059FA">
            <w:pPr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4997" w:type="dxa"/>
            <w:vAlign w:val="center"/>
          </w:tcPr>
          <w:p w14:paraId="0F048599" w14:textId="193F1C45" w:rsidR="00196248" w:rsidRDefault="00196248" w:rsidP="00D059FA">
            <w:r w:rsidRPr="00196248">
              <w:t>All staff demonstrate high standards in care and hygiene practices</w:t>
            </w:r>
          </w:p>
        </w:tc>
        <w:tc>
          <w:tcPr>
            <w:tcW w:w="645" w:type="dxa"/>
            <w:vAlign w:val="center"/>
          </w:tcPr>
          <w:p w14:paraId="3B85FBF3" w14:textId="77777777" w:rsidR="00196248" w:rsidRPr="00C37D9C" w:rsidRDefault="00196248" w:rsidP="00D059FA"/>
        </w:tc>
        <w:tc>
          <w:tcPr>
            <w:tcW w:w="600" w:type="dxa"/>
            <w:vAlign w:val="center"/>
          </w:tcPr>
          <w:p w14:paraId="1E1F6A0D" w14:textId="77777777" w:rsidR="00196248" w:rsidRPr="00C37D9C" w:rsidRDefault="00196248" w:rsidP="00D059FA"/>
        </w:tc>
        <w:tc>
          <w:tcPr>
            <w:tcW w:w="7791" w:type="dxa"/>
            <w:vAlign w:val="center"/>
          </w:tcPr>
          <w:p w14:paraId="36344738" w14:textId="77777777" w:rsidR="00196248" w:rsidRPr="00C37D9C" w:rsidRDefault="00196248" w:rsidP="00D059FA"/>
        </w:tc>
      </w:tr>
      <w:tr w:rsidR="00F83B0C" w:rsidRPr="00D059FA" w14:paraId="4A5926CE" w14:textId="77777777" w:rsidTr="006649F7">
        <w:tc>
          <w:tcPr>
            <w:tcW w:w="709" w:type="dxa"/>
            <w:shd w:val="clear" w:color="auto" w:fill="auto"/>
            <w:vAlign w:val="center"/>
          </w:tcPr>
          <w:p w14:paraId="56FAB000" w14:textId="7A728D0B" w:rsidR="00F83B0C" w:rsidRDefault="00F83B0C" w:rsidP="00D059FA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4997" w:type="dxa"/>
            <w:vAlign w:val="center"/>
          </w:tcPr>
          <w:p w14:paraId="6A3ED0A8" w14:textId="6F4DBEB2" w:rsidR="00F83B0C" w:rsidRPr="00196248" w:rsidRDefault="00F83B0C" w:rsidP="00D059FA">
            <w:r>
              <w:t>Adults support a “can do” attitude</w:t>
            </w:r>
          </w:p>
        </w:tc>
        <w:tc>
          <w:tcPr>
            <w:tcW w:w="645" w:type="dxa"/>
            <w:vAlign w:val="center"/>
          </w:tcPr>
          <w:p w14:paraId="06D7A303" w14:textId="77777777" w:rsidR="00F83B0C" w:rsidRPr="00C37D9C" w:rsidRDefault="00F83B0C" w:rsidP="00D059FA"/>
        </w:tc>
        <w:tc>
          <w:tcPr>
            <w:tcW w:w="600" w:type="dxa"/>
            <w:vAlign w:val="center"/>
          </w:tcPr>
          <w:p w14:paraId="199565BC" w14:textId="77777777" w:rsidR="00F83B0C" w:rsidRPr="00C37D9C" w:rsidRDefault="00F83B0C" w:rsidP="00D059FA"/>
        </w:tc>
        <w:tc>
          <w:tcPr>
            <w:tcW w:w="7791" w:type="dxa"/>
            <w:vAlign w:val="center"/>
          </w:tcPr>
          <w:p w14:paraId="136CA741" w14:textId="77777777" w:rsidR="00F83B0C" w:rsidRPr="00C37D9C" w:rsidRDefault="00F83B0C" w:rsidP="00D059FA"/>
        </w:tc>
      </w:tr>
      <w:tr w:rsidR="00A4227B" w:rsidRPr="00D059FA" w14:paraId="3830E457" w14:textId="77777777" w:rsidTr="006649F7">
        <w:tc>
          <w:tcPr>
            <w:tcW w:w="709" w:type="dxa"/>
            <w:shd w:val="clear" w:color="auto" w:fill="auto"/>
            <w:vAlign w:val="center"/>
          </w:tcPr>
          <w:p w14:paraId="0BE7BEF9" w14:textId="551DBAB3" w:rsidR="00A4227B" w:rsidRDefault="00A4227B" w:rsidP="00D059FA">
            <w:pPr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4997" w:type="dxa"/>
            <w:vAlign w:val="center"/>
          </w:tcPr>
          <w:p w14:paraId="5495FB9F" w14:textId="70A8162D" w:rsidR="00A4227B" w:rsidRDefault="00A4227B" w:rsidP="00D059FA">
            <w:r>
              <w:t>Adults and children’s mental health and well-being needs are met</w:t>
            </w:r>
          </w:p>
        </w:tc>
        <w:tc>
          <w:tcPr>
            <w:tcW w:w="645" w:type="dxa"/>
            <w:vAlign w:val="center"/>
          </w:tcPr>
          <w:p w14:paraId="18E2E033" w14:textId="77777777" w:rsidR="00A4227B" w:rsidRPr="00C37D9C" w:rsidRDefault="00A4227B" w:rsidP="00D059FA"/>
        </w:tc>
        <w:tc>
          <w:tcPr>
            <w:tcW w:w="600" w:type="dxa"/>
            <w:vAlign w:val="center"/>
          </w:tcPr>
          <w:p w14:paraId="52BFCB69" w14:textId="77777777" w:rsidR="00A4227B" w:rsidRPr="00C37D9C" w:rsidRDefault="00A4227B" w:rsidP="00D059FA"/>
        </w:tc>
        <w:tc>
          <w:tcPr>
            <w:tcW w:w="7791" w:type="dxa"/>
            <w:vAlign w:val="center"/>
          </w:tcPr>
          <w:p w14:paraId="22EB4E8B" w14:textId="77777777" w:rsidR="00A4227B" w:rsidRPr="00C37D9C" w:rsidRDefault="00A4227B" w:rsidP="00D059FA"/>
        </w:tc>
      </w:tr>
      <w:tr w:rsidR="00BB3B14" w:rsidRPr="00D059FA" w14:paraId="4C4F20FE" w14:textId="77777777" w:rsidTr="00BB3B14">
        <w:trPr>
          <w:trHeight w:val="461"/>
        </w:trPr>
        <w:tc>
          <w:tcPr>
            <w:tcW w:w="14742" w:type="dxa"/>
            <w:gridSpan w:val="5"/>
            <w:shd w:val="clear" w:color="auto" w:fill="E5ECEB" w:themeFill="background2" w:themeFillTint="33"/>
            <w:vAlign w:val="center"/>
          </w:tcPr>
          <w:p w14:paraId="28F4A448" w14:textId="5378E91D" w:rsidR="00BB3B14" w:rsidRPr="00BB3B14" w:rsidRDefault="00BB3B14" w:rsidP="00D059FA">
            <w:pPr>
              <w:spacing w:after="200" w:line="276" w:lineRule="auto"/>
            </w:pPr>
            <w:r w:rsidRPr="00D059FA">
              <w:rPr>
                <w:b/>
              </w:rPr>
              <w:t xml:space="preserve">Part </w:t>
            </w:r>
            <w:r>
              <w:rPr>
                <w:b/>
              </w:rPr>
              <w:t>5</w:t>
            </w:r>
            <w:r w:rsidRPr="00D059FA">
              <w:rPr>
                <w:b/>
              </w:rPr>
              <w:t>: O</w:t>
            </w:r>
            <w:r>
              <w:rPr>
                <w:b/>
              </w:rPr>
              <w:t xml:space="preserve">verall effectiveness                                     </w:t>
            </w:r>
            <w:proofErr w:type="gramStart"/>
            <w:r w:rsidRPr="00D059FA">
              <w:rPr>
                <w:b/>
              </w:rPr>
              <w:t>Y</w:t>
            </w:r>
            <w:r>
              <w:rPr>
                <w:b/>
              </w:rPr>
              <w:t>es</w:t>
            </w:r>
            <w:proofErr w:type="gramEnd"/>
            <w:r>
              <w:rPr>
                <w:b/>
              </w:rPr>
              <w:t xml:space="preserve">    </w:t>
            </w:r>
            <w:r w:rsidRPr="00D059FA">
              <w:rPr>
                <w:b/>
              </w:rPr>
              <w:t>N</w:t>
            </w:r>
            <w:r>
              <w:rPr>
                <w:b/>
              </w:rPr>
              <w:t>o                                                 Ac</w:t>
            </w:r>
            <w:r w:rsidRPr="00D059FA">
              <w:rPr>
                <w:b/>
              </w:rPr>
              <w:t>tions</w:t>
            </w:r>
          </w:p>
        </w:tc>
      </w:tr>
      <w:tr w:rsidR="00A7212A" w:rsidRPr="00D059FA" w14:paraId="616B16EE" w14:textId="77777777" w:rsidTr="002C7062">
        <w:tc>
          <w:tcPr>
            <w:tcW w:w="709" w:type="dxa"/>
            <w:shd w:val="clear" w:color="auto" w:fill="auto"/>
            <w:vAlign w:val="center"/>
          </w:tcPr>
          <w:p w14:paraId="12B18B04" w14:textId="6DB4FA66" w:rsidR="00A7212A" w:rsidRPr="00D059FA" w:rsidRDefault="009C5B5F" w:rsidP="00D059F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A7212A" w:rsidRPr="00D059FA">
              <w:rPr>
                <w:b/>
              </w:rPr>
              <w:t>.1</w:t>
            </w:r>
          </w:p>
        </w:tc>
        <w:tc>
          <w:tcPr>
            <w:tcW w:w="4997" w:type="dxa"/>
            <w:vAlign w:val="center"/>
          </w:tcPr>
          <w:p w14:paraId="402ECAA8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Children are at ease in exploring their environment; they seek out their key person for reassurance and comfort </w:t>
            </w:r>
          </w:p>
        </w:tc>
        <w:tc>
          <w:tcPr>
            <w:tcW w:w="645" w:type="dxa"/>
            <w:vAlign w:val="center"/>
          </w:tcPr>
          <w:p w14:paraId="5E215D54" w14:textId="77777777" w:rsidR="00A7212A" w:rsidRPr="00D059FA" w:rsidRDefault="00A7212A" w:rsidP="00C37D9C"/>
        </w:tc>
        <w:tc>
          <w:tcPr>
            <w:tcW w:w="600" w:type="dxa"/>
            <w:vAlign w:val="center"/>
          </w:tcPr>
          <w:p w14:paraId="4106589A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2EA740BB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603CE3CD" w14:textId="77777777" w:rsidTr="00594337">
        <w:tc>
          <w:tcPr>
            <w:tcW w:w="709" w:type="dxa"/>
            <w:shd w:val="clear" w:color="auto" w:fill="auto"/>
            <w:vAlign w:val="center"/>
          </w:tcPr>
          <w:p w14:paraId="645B8FDC" w14:textId="6959CD46" w:rsidR="00A7212A" w:rsidRPr="00D059FA" w:rsidRDefault="009C5B5F" w:rsidP="00D059F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A7212A" w:rsidRPr="00D059FA">
              <w:rPr>
                <w:b/>
              </w:rPr>
              <w:t>.2</w:t>
            </w:r>
          </w:p>
        </w:tc>
        <w:tc>
          <w:tcPr>
            <w:tcW w:w="4997" w:type="dxa"/>
            <w:vAlign w:val="center"/>
          </w:tcPr>
          <w:p w14:paraId="611C928A" w14:textId="2C4708FD" w:rsidR="00A7212A" w:rsidRPr="00D059FA" w:rsidRDefault="00A7212A" w:rsidP="005D6644">
            <w:pPr>
              <w:spacing w:after="200" w:line="276" w:lineRule="auto"/>
            </w:pPr>
            <w:r w:rsidRPr="00D059FA">
              <w:t xml:space="preserve">Children relate well </w:t>
            </w:r>
            <w:r>
              <w:t>to others in the setting</w:t>
            </w:r>
            <w:r w:rsidR="005D6644">
              <w:t xml:space="preserve"> so that there is clearly a sense of well-being for all</w:t>
            </w:r>
          </w:p>
        </w:tc>
        <w:tc>
          <w:tcPr>
            <w:tcW w:w="645" w:type="dxa"/>
            <w:vAlign w:val="center"/>
          </w:tcPr>
          <w:p w14:paraId="202EA3CF" w14:textId="77777777" w:rsidR="00A7212A" w:rsidRPr="00C37D9C" w:rsidRDefault="00A7212A" w:rsidP="00C37D9C"/>
        </w:tc>
        <w:tc>
          <w:tcPr>
            <w:tcW w:w="600" w:type="dxa"/>
            <w:vAlign w:val="center"/>
          </w:tcPr>
          <w:p w14:paraId="384EF05A" w14:textId="77777777" w:rsidR="00A7212A" w:rsidRPr="00C37D9C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664E2DB8" w14:textId="77777777" w:rsidR="00A7212A" w:rsidRPr="00C37D9C" w:rsidRDefault="00A7212A" w:rsidP="00D059FA">
            <w:pPr>
              <w:spacing w:after="200" w:line="276" w:lineRule="auto"/>
            </w:pPr>
          </w:p>
        </w:tc>
      </w:tr>
      <w:tr w:rsidR="00A7212A" w:rsidRPr="00D059FA" w14:paraId="407D0D2C" w14:textId="77777777" w:rsidTr="00430D83">
        <w:tc>
          <w:tcPr>
            <w:tcW w:w="709" w:type="dxa"/>
            <w:shd w:val="clear" w:color="auto" w:fill="auto"/>
            <w:vAlign w:val="center"/>
          </w:tcPr>
          <w:p w14:paraId="1AFC2842" w14:textId="65F11834" w:rsidR="00A7212A" w:rsidRPr="00D059FA" w:rsidRDefault="009C5B5F" w:rsidP="00D059F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A7212A" w:rsidRPr="00D059FA">
              <w:rPr>
                <w:b/>
              </w:rPr>
              <w:t>.3</w:t>
            </w:r>
          </w:p>
        </w:tc>
        <w:tc>
          <w:tcPr>
            <w:tcW w:w="4997" w:type="dxa"/>
            <w:vAlign w:val="center"/>
          </w:tcPr>
          <w:p w14:paraId="56A13E52" w14:textId="5A9EC281" w:rsidR="00A7212A" w:rsidRPr="00D059FA" w:rsidRDefault="00A7212A" w:rsidP="00D059FA">
            <w:pPr>
              <w:spacing w:after="200" w:line="276" w:lineRule="auto"/>
            </w:pPr>
            <w:r w:rsidRPr="00D059FA">
              <w:t>Children are eager to join in activities</w:t>
            </w:r>
            <w:r w:rsidR="00DD2C77">
              <w:t>.  T</w:t>
            </w:r>
            <w:r w:rsidRPr="00D059FA">
              <w:t>hey are engaged in self-chosen activities for periods of time</w:t>
            </w:r>
            <w:r w:rsidR="005D6644">
              <w:t xml:space="preserve"> so that learning is effective</w:t>
            </w:r>
          </w:p>
        </w:tc>
        <w:tc>
          <w:tcPr>
            <w:tcW w:w="645" w:type="dxa"/>
            <w:vAlign w:val="center"/>
          </w:tcPr>
          <w:p w14:paraId="02E0C189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036D4DE9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60E15B6B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2C2DDBA7" w14:textId="77777777" w:rsidTr="00E33132">
        <w:trPr>
          <w:trHeight w:val="651"/>
        </w:trPr>
        <w:tc>
          <w:tcPr>
            <w:tcW w:w="709" w:type="dxa"/>
            <w:shd w:val="clear" w:color="auto" w:fill="auto"/>
            <w:vAlign w:val="center"/>
          </w:tcPr>
          <w:p w14:paraId="186F255B" w14:textId="753A8A20" w:rsidR="00A7212A" w:rsidRPr="00D059FA" w:rsidRDefault="009C5B5F" w:rsidP="00D059F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A7212A" w:rsidRPr="00D059FA">
              <w:rPr>
                <w:b/>
              </w:rPr>
              <w:t>.4</w:t>
            </w:r>
          </w:p>
        </w:tc>
        <w:tc>
          <w:tcPr>
            <w:tcW w:w="4997" w:type="dxa"/>
            <w:vAlign w:val="center"/>
          </w:tcPr>
          <w:p w14:paraId="7AF8DBC3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 xml:space="preserve">All children are helped to make good progress from their starting points </w:t>
            </w:r>
          </w:p>
        </w:tc>
        <w:tc>
          <w:tcPr>
            <w:tcW w:w="645" w:type="dxa"/>
            <w:vAlign w:val="center"/>
          </w:tcPr>
          <w:p w14:paraId="3813C186" w14:textId="77777777" w:rsidR="00A7212A" w:rsidRPr="00C37D9C" w:rsidRDefault="00A7212A" w:rsidP="00C37D9C"/>
        </w:tc>
        <w:tc>
          <w:tcPr>
            <w:tcW w:w="600" w:type="dxa"/>
            <w:vAlign w:val="center"/>
          </w:tcPr>
          <w:p w14:paraId="68F40AEB" w14:textId="77777777" w:rsidR="00A7212A" w:rsidRPr="00C37D9C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28FA7A2D" w14:textId="77777777" w:rsidR="00A7212A" w:rsidRPr="00C37D9C" w:rsidRDefault="00A7212A" w:rsidP="00D059FA">
            <w:pPr>
              <w:spacing w:after="200" w:line="276" w:lineRule="auto"/>
            </w:pPr>
          </w:p>
        </w:tc>
      </w:tr>
      <w:tr w:rsidR="00A7212A" w:rsidRPr="00D059FA" w14:paraId="11B916A3" w14:textId="77777777" w:rsidTr="00E33132">
        <w:trPr>
          <w:trHeight w:val="749"/>
        </w:trPr>
        <w:tc>
          <w:tcPr>
            <w:tcW w:w="709" w:type="dxa"/>
            <w:shd w:val="clear" w:color="auto" w:fill="auto"/>
            <w:vAlign w:val="center"/>
          </w:tcPr>
          <w:p w14:paraId="76505E32" w14:textId="4CA0BB25" w:rsidR="00A7212A" w:rsidRPr="00D059FA" w:rsidRDefault="009C5B5F" w:rsidP="00D059F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A7212A" w:rsidRPr="00D059FA">
              <w:rPr>
                <w:b/>
              </w:rPr>
              <w:t>.5</w:t>
            </w:r>
          </w:p>
        </w:tc>
        <w:tc>
          <w:tcPr>
            <w:tcW w:w="4997" w:type="dxa"/>
            <w:vAlign w:val="center"/>
          </w:tcPr>
          <w:p w14:paraId="043A9DC7" w14:textId="77777777" w:rsidR="00A7212A" w:rsidRPr="00D059FA" w:rsidRDefault="00A7212A" w:rsidP="00D059FA">
            <w:pPr>
              <w:spacing w:after="200" w:line="276" w:lineRule="auto"/>
            </w:pPr>
            <w:r w:rsidRPr="00D059FA">
              <w:t>Children’s progress is consistent across all areas of learning</w:t>
            </w:r>
          </w:p>
        </w:tc>
        <w:tc>
          <w:tcPr>
            <w:tcW w:w="645" w:type="dxa"/>
            <w:vAlign w:val="center"/>
          </w:tcPr>
          <w:p w14:paraId="57C38746" w14:textId="77777777" w:rsidR="00A7212A" w:rsidRPr="00D059FA" w:rsidRDefault="00A7212A" w:rsidP="00C37D9C"/>
        </w:tc>
        <w:tc>
          <w:tcPr>
            <w:tcW w:w="600" w:type="dxa"/>
            <w:vAlign w:val="center"/>
          </w:tcPr>
          <w:p w14:paraId="03297A2D" w14:textId="77777777" w:rsidR="00A7212A" w:rsidRPr="00D059FA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7318992C" w14:textId="77777777" w:rsidR="00A7212A" w:rsidRPr="00D059FA" w:rsidRDefault="00A7212A" w:rsidP="00D059FA">
            <w:pPr>
              <w:spacing w:after="200" w:line="276" w:lineRule="auto"/>
            </w:pPr>
          </w:p>
        </w:tc>
      </w:tr>
      <w:tr w:rsidR="00A7212A" w:rsidRPr="00D059FA" w14:paraId="731A3100" w14:textId="77777777" w:rsidTr="00E33132">
        <w:trPr>
          <w:trHeight w:val="1669"/>
        </w:trPr>
        <w:tc>
          <w:tcPr>
            <w:tcW w:w="709" w:type="dxa"/>
            <w:shd w:val="clear" w:color="auto" w:fill="auto"/>
            <w:vAlign w:val="center"/>
          </w:tcPr>
          <w:p w14:paraId="04A62331" w14:textId="02DB58CB" w:rsidR="00A7212A" w:rsidRPr="00D059FA" w:rsidRDefault="009C5B5F" w:rsidP="00D059F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A7212A" w:rsidRPr="00D059FA">
              <w:rPr>
                <w:b/>
              </w:rPr>
              <w:t>.6</w:t>
            </w:r>
          </w:p>
        </w:tc>
        <w:tc>
          <w:tcPr>
            <w:tcW w:w="4997" w:type="dxa"/>
            <w:vAlign w:val="center"/>
          </w:tcPr>
          <w:p w14:paraId="74A0B636" w14:textId="22EB1CAA" w:rsidR="00A7212A" w:rsidRPr="00D059FA" w:rsidRDefault="00A7212A" w:rsidP="00D059FA">
            <w:pPr>
              <w:spacing w:after="200" w:line="276" w:lineRule="auto"/>
            </w:pPr>
            <w:r w:rsidRPr="00D059FA">
              <w:t>Evidence of children’s progress shows that gaps are narrowing for groups of children or individual children, including those with additional needs</w:t>
            </w:r>
            <w:r w:rsidR="005D6644">
              <w:t xml:space="preserve">, vulnerable children </w:t>
            </w:r>
            <w:r w:rsidRPr="00D059FA">
              <w:t xml:space="preserve">and funded </w:t>
            </w:r>
            <w:r w:rsidR="00AA305E">
              <w:t>two-year olds</w:t>
            </w:r>
            <w:r w:rsidR="00DD2C77">
              <w:t xml:space="preserve"> </w:t>
            </w:r>
          </w:p>
        </w:tc>
        <w:tc>
          <w:tcPr>
            <w:tcW w:w="645" w:type="dxa"/>
            <w:vAlign w:val="center"/>
          </w:tcPr>
          <w:p w14:paraId="547B2449" w14:textId="77777777" w:rsidR="00A7212A" w:rsidRPr="00C37D9C" w:rsidRDefault="00A7212A" w:rsidP="00D059FA">
            <w:pPr>
              <w:spacing w:after="200" w:line="276" w:lineRule="auto"/>
            </w:pPr>
          </w:p>
        </w:tc>
        <w:tc>
          <w:tcPr>
            <w:tcW w:w="600" w:type="dxa"/>
            <w:vAlign w:val="center"/>
          </w:tcPr>
          <w:p w14:paraId="132BE94D" w14:textId="77777777" w:rsidR="00A7212A" w:rsidRPr="00C37D9C" w:rsidRDefault="00A7212A" w:rsidP="00D059FA">
            <w:pPr>
              <w:spacing w:after="200" w:line="276" w:lineRule="auto"/>
            </w:pPr>
          </w:p>
        </w:tc>
        <w:tc>
          <w:tcPr>
            <w:tcW w:w="7791" w:type="dxa"/>
            <w:vAlign w:val="center"/>
          </w:tcPr>
          <w:p w14:paraId="5D3C7325" w14:textId="77777777" w:rsidR="00A7212A" w:rsidRPr="00C37D9C" w:rsidRDefault="00A7212A" w:rsidP="00D059FA">
            <w:pPr>
              <w:spacing w:after="200" w:line="276" w:lineRule="auto"/>
            </w:pPr>
          </w:p>
        </w:tc>
      </w:tr>
    </w:tbl>
    <w:p w14:paraId="5656C881" w14:textId="23D55E0B" w:rsidR="00E33132" w:rsidRDefault="00DD2C77" w:rsidP="00E33132">
      <w:pPr>
        <w:pStyle w:val="NoSpacing"/>
        <w:rPr>
          <w:b/>
          <w:bCs/>
        </w:rPr>
      </w:pPr>
      <w:r w:rsidRPr="00E33132">
        <w:rPr>
          <w:b/>
          <w:bCs/>
        </w:rPr>
        <w:t xml:space="preserve">Useful Links </w:t>
      </w:r>
    </w:p>
    <w:p w14:paraId="4B8580F8" w14:textId="27E756E5" w:rsidR="00D43CD3" w:rsidRPr="00D43CD3" w:rsidRDefault="00155EE2" w:rsidP="00E33132">
      <w:pPr>
        <w:pStyle w:val="NoSpacing"/>
        <w:numPr>
          <w:ilvl w:val="0"/>
          <w:numId w:val="8"/>
        </w:numPr>
      </w:pPr>
      <w:hyperlink r:id="rId8" w:history="1">
        <w:r w:rsidR="00D43CD3" w:rsidRPr="00E33132">
          <w:rPr>
            <w:color w:val="0000FF"/>
            <w:u w:val="single"/>
          </w:rPr>
          <w:t>Early years foundation stage (EYFS) statutory framework - GOV.UK (www.gov.uk)</w:t>
        </w:r>
      </w:hyperlink>
      <w:r w:rsidR="00D43CD3">
        <w:t xml:space="preserve">  </w:t>
      </w:r>
      <w:hyperlink r:id="rId9" w:history="1">
        <w:r w:rsidR="005E6D4F" w:rsidRPr="00CD3250">
          <w:rPr>
            <w:rStyle w:val="Hyperlink"/>
            <w:color w:val="0000FF"/>
          </w:rPr>
          <w:t>Development Matters - GOV.UK (www.gov.uk)</w:t>
        </w:r>
      </w:hyperlink>
    </w:p>
    <w:p w14:paraId="2D4A991C" w14:textId="1481DFCA" w:rsidR="00E33132" w:rsidRPr="00E33132" w:rsidRDefault="00155EE2" w:rsidP="00E33132">
      <w:pPr>
        <w:pStyle w:val="NoSpacing"/>
        <w:numPr>
          <w:ilvl w:val="0"/>
          <w:numId w:val="8"/>
        </w:numPr>
      </w:pPr>
      <w:hyperlink r:id="rId10" w:history="1">
        <w:r w:rsidR="00E33132" w:rsidRPr="00E33132">
          <w:rPr>
            <w:color w:val="0000FF"/>
            <w:u w:val="single"/>
          </w:rPr>
          <w:t>Linking with your health visiting team and the health and development review | Oxfordshire County Council</w:t>
        </w:r>
      </w:hyperlink>
      <w:r w:rsidR="00E33132" w:rsidRPr="00E33132">
        <w:t xml:space="preserve"> </w:t>
      </w:r>
    </w:p>
    <w:p w14:paraId="06F5C94A" w14:textId="724C2BC7" w:rsidR="0024234C" w:rsidRPr="00E33132" w:rsidRDefault="00155EE2" w:rsidP="00E33132">
      <w:pPr>
        <w:pStyle w:val="NoSpacing"/>
        <w:numPr>
          <w:ilvl w:val="0"/>
          <w:numId w:val="8"/>
        </w:numPr>
      </w:pPr>
      <w:hyperlink r:id="rId11" w:history="1">
        <w:r w:rsidR="0024234C" w:rsidRPr="00E33132">
          <w:rPr>
            <w:color w:val="0000FF"/>
            <w:u w:val="single"/>
          </w:rPr>
          <w:t>Early Years Foundation Stage Transition Pack | Oxfordshire County Council</w:t>
        </w:r>
      </w:hyperlink>
      <w:r w:rsidR="0024234C" w:rsidRPr="00E33132">
        <w:t xml:space="preserve"> </w:t>
      </w:r>
    </w:p>
    <w:p w14:paraId="567A3A15" w14:textId="6F2E25A8" w:rsidR="0024234C" w:rsidRPr="00E33132" w:rsidRDefault="00155EE2" w:rsidP="00E33132">
      <w:pPr>
        <w:pStyle w:val="NoSpacing"/>
        <w:numPr>
          <w:ilvl w:val="0"/>
          <w:numId w:val="8"/>
        </w:numPr>
      </w:pPr>
      <w:hyperlink r:id="rId12" w:history="1">
        <w:r w:rsidR="0024234C" w:rsidRPr="00E33132">
          <w:rPr>
            <w:color w:val="0000FF"/>
            <w:u w:val="single"/>
          </w:rPr>
          <w:t>Promoting Inclusion – Supporting the personal development of young children (oxfordshire.gov.uk)</w:t>
        </w:r>
      </w:hyperlink>
      <w:r w:rsidR="0024234C" w:rsidRPr="00E33132">
        <w:t xml:space="preserve"> </w:t>
      </w:r>
    </w:p>
    <w:p w14:paraId="2DC7E9CE" w14:textId="042EF8E1" w:rsidR="00865F38" w:rsidRPr="00E33132" w:rsidRDefault="00155EE2" w:rsidP="00E33132">
      <w:pPr>
        <w:pStyle w:val="NoSpacing"/>
        <w:numPr>
          <w:ilvl w:val="0"/>
          <w:numId w:val="8"/>
        </w:numPr>
      </w:pPr>
      <w:hyperlink r:id="rId13" w:history="1">
        <w:r w:rsidR="0024234C" w:rsidRPr="00E33132">
          <w:rPr>
            <w:color w:val="0000FF"/>
            <w:u w:val="single"/>
          </w:rPr>
          <w:t>Promote staff mental health and wellbeing (annafreud.org)</w:t>
        </w:r>
      </w:hyperlink>
      <w:r w:rsidR="0024234C" w:rsidRPr="00E33132">
        <w:t xml:space="preserve"> </w:t>
      </w:r>
      <w:r w:rsidR="00530150" w:rsidRPr="00E33132">
        <w:t xml:space="preserve"> </w:t>
      </w:r>
      <w:hyperlink r:id="rId14" w:history="1">
        <w:r w:rsidR="00530150" w:rsidRPr="00E33132">
          <w:rPr>
            <w:color w:val="0000FF"/>
            <w:u w:val="single"/>
          </w:rPr>
          <w:t xml:space="preserve">Early Years Practitioner Guidance | Babies, Young Children Mental Health &amp; Wellbeing | Early Years </w:t>
        </w:r>
        <w:proofErr w:type="gramStart"/>
        <w:r w:rsidR="00530150" w:rsidRPr="00E33132">
          <w:rPr>
            <w:color w:val="0000FF"/>
            <w:u w:val="single"/>
          </w:rPr>
          <w:t>In</w:t>
        </w:r>
        <w:proofErr w:type="gramEnd"/>
        <w:r w:rsidR="00530150" w:rsidRPr="00E33132">
          <w:rPr>
            <w:color w:val="0000FF"/>
            <w:u w:val="single"/>
          </w:rPr>
          <w:t xml:space="preserve"> Mind | Anna Freud Centre</w:t>
        </w:r>
      </w:hyperlink>
      <w:r w:rsidR="00530150" w:rsidRPr="00E33132">
        <w:t xml:space="preserve"> </w:t>
      </w:r>
    </w:p>
    <w:p w14:paraId="6F51E31A" w14:textId="77777777" w:rsidR="00BB3B14" w:rsidRDefault="00155EE2" w:rsidP="00BB3B14">
      <w:pPr>
        <w:pStyle w:val="NoSpacing"/>
        <w:numPr>
          <w:ilvl w:val="0"/>
          <w:numId w:val="8"/>
        </w:numPr>
      </w:pPr>
      <w:hyperlink r:id="rId15" w:history="1">
        <w:r w:rsidR="00865F38" w:rsidRPr="00E33132">
          <w:rPr>
            <w:color w:val="0000FF"/>
            <w:u w:val="single"/>
          </w:rPr>
          <w:t xml:space="preserve">Free early education for </w:t>
        </w:r>
        <w:proofErr w:type="gramStart"/>
        <w:r w:rsidR="00865F38" w:rsidRPr="00E33132">
          <w:rPr>
            <w:color w:val="0000FF"/>
            <w:u w:val="single"/>
          </w:rPr>
          <w:t>2 year olds</w:t>
        </w:r>
        <w:proofErr w:type="gramEnd"/>
        <w:r w:rsidR="00865F38" w:rsidRPr="00E33132">
          <w:rPr>
            <w:color w:val="0000FF"/>
            <w:u w:val="single"/>
          </w:rPr>
          <w:t xml:space="preserve"> | Oxfordshire County Council</w:t>
        </w:r>
      </w:hyperlink>
      <w:r w:rsidR="00865F38" w:rsidRPr="00E33132">
        <w:t xml:space="preserve">  </w:t>
      </w:r>
    </w:p>
    <w:p w14:paraId="3F7F5BE0" w14:textId="7B225633" w:rsidR="00865F38" w:rsidRPr="00BB3B14" w:rsidRDefault="00155EE2" w:rsidP="00BB3B14">
      <w:pPr>
        <w:pStyle w:val="NoSpacing"/>
        <w:numPr>
          <w:ilvl w:val="0"/>
          <w:numId w:val="8"/>
        </w:numPr>
        <w:rPr>
          <w:color w:val="0000FF"/>
        </w:rPr>
      </w:pPr>
      <w:hyperlink r:id="rId16" w:history="1">
        <w:r w:rsidR="00865F38" w:rsidRPr="00BB3B14">
          <w:rPr>
            <w:rStyle w:val="Hyperlink"/>
            <w:rFonts w:eastAsia="Times New Roman"/>
            <w:color w:val="0000FF"/>
            <w:sz w:val="22"/>
            <w:lang w:val="en-US"/>
          </w:rPr>
          <w:t>The Local Offer</w:t>
        </w:r>
      </w:hyperlink>
      <w:r w:rsidR="00865F38" w:rsidRPr="00BB3B14">
        <w:rPr>
          <w:rFonts w:eastAsia="Times New Roman"/>
          <w:color w:val="0000FF"/>
          <w:lang w:val="en-US"/>
        </w:rPr>
        <w:t xml:space="preserve"> </w:t>
      </w:r>
      <w:r w:rsidR="00865F38" w:rsidRPr="00BB3B14">
        <w:rPr>
          <w:color w:val="0000FF"/>
        </w:rPr>
        <w:t xml:space="preserve"> </w:t>
      </w:r>
      <w:hyperlink r:id="rId17" w:history="1">
        <w:r w:rsidR="00865F38" w:rsidRPr="00BB3B14">
          <w:rPr>
            <w:rStyle w:val="Hyperlink"/>
            <w:rFonts w:eastAsia="Times New Roman"/>
            <w:color w:val="0000FF"/>
            <w:sz w:val="22"/>
            <w:lang w:val="en-US"/>
          </w:rPr>
          <w:t>Information for providers</w:t>
        </w:r>
      </w:hyperlink>
      <w:r w:rsidR="00865F38" w:rsidRPr="00BB3B14">
        <w:rPr>
          <w:rStyle w:val="Hyperlink"/>
          <w:rFonts w:eastAsia="Times New Roman"/>
          <w:color w:val="0000FF"/>
          <w:sz w:val="22"/>
          <w:u w:val="none"/>
          <w:lang w:val="en-US"/>
        </w:rPr>
        <w:t xml:space="preserve">  </w:t>
      </w:r>
      <w:hyperlink r:id="rId18" w:history="1">
        <w:r w:rsidR="00865F38" w:rsidRPr="00BB3B14">
          <w:rPr>
            <w:rStyle w:val="Hyperlink"/>
            <w:rFonts w:eastAsia="Times New Roman"/>
            <w:color w:val="0000FF"/>
            <w:sz w:val="22"/>
            <w:lang w:val="en-US"/>
          </w:rPr>
          <w:t>OCC Early Years SEN Toolkit</w:t>
        </w:r>
      </w:hyperlink>
      <w:r w:rsidR="00865F38" w:rsidRPr="00BB3B14">
        <w:rPr>
          <w:rStyle w:val="Hyperlink"/>
          <w:rFonts w:eastAsia="Times New Roman"/>
          <w:color w:val="0000FF"/>
          <w:sz w:val="22"/>
          <w:lang w:val="en-US"/>
        </w:rPr>
        <w:t xml:space="preserve"> </w:t>
      </w:r>
    </w:p>
    <w:sectPr w:rsidR="00865F38" w:rsidRPr="00BB3B14" w:rsidSect="00910A56">
      <w:headerReference w:type="default" r:id="rId19"/>
      <w:footerReference w:type="default" r:id="rId20"/>
      <w:pgSz w:w="16838" w:h="11906" w:orient="landscape"/>
      <w:pgMar w:top="992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99B3" w14:textId="77777777" w:rsidR="00894BBC" w:rsidRDefault="00894BBC" w:rsidP="00527023">
      <w:pPr>
        <w:spacing w:after="0" w:line="240" w:lineRule="auto"/>
      </w:pPr>
      <w:r>
        <w:separator/>
      </w:r>
    </w:p>
  </w:endnote>
  <w:endnote w:type="continuationSeparator" w:id="0">
    <w:p w14:paraId="694060F6" w14:textId="77777777" w:rsidR="00894BBC" w:rsidRDefault="00894BBC" w:rsidP="0052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9AF8" w14:textId="77777777" w:rsidR="000371FA" w:rsidRPr="000371FA" w:rsidRDefault="00D059FA" w:rsidP="000371FA">
    <w:pPr>
      <w:pStyle w:val="Footer"/>
      <w:jc w:val="center"/>
      <w:rPr>
        <w:sz w:val="36"/>
      </w:rPr>
    </w:pPr>
    <w:r w:rsidRPr="000371FA">
      <w:rPr>
        <w:noProof/>
        <w:sz w:val="12"/>
        <w:lang w:eastAsia="en-GB"/>
      </w:rPr>
      <w:drawing>
        <wp:anchor distT="0" distB="0" distL="114300" distR="114300" simplePos="0" relativeHeight="251661824" behindDoc="0" locked="0" layoutInCell="1" allowOverlap="1" wp14:anchorId="58720542" wp14:editId="2225B321">
          <wp:simplePos x="0" y="0"/>
          <wp:positionH relativeFrom="column">
            <wp:posOffset>7800975</wp:posOffset>
          </wp:positionH>
          <wp:positionV relativeFrom="paragraph">
            <wp:posOffset>188595</wp:posOffset>
          </wp:positionV>
          <wp:extent cx="1800860" cy="386715"/>
          <wp:effectExtent l="0" t="0" r="889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FFC60" w14:textId="5020DDB6" w:rsidR="000371FA" w:rsidRDefault="00910A56" w:rsidP="00910A56">
    <w:pPr>
      <w:pStyle w:val="Footer"/>
      <w:tabs>
        <w:tab w:val="left" w:pos="1038"/>
        <w:tab w:val="center" w:pos="7568"/>
      </w:tabs>
      <w:rPr>
        <w:noProof/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0371FA" w:rsidRPr="000371FA">
      <w:rPr>
        <w:sz w:val="20"/>
      </w:rPr>
      <w:t xml:space="preserve">Page | </w:t>
    </w:r>
    <w:r w:rsidR="000371FA" w:rsidRPr="000371FA">
      <w:rPr>
        <w:sz w:val="20"/>
      </w:rPr>
      <w:fldChar w:fldCharType="begin"/>
    </w:r>
    <w:r w:rsidR="000371FA" w:rsidRPr="000371FA">
      <w:rPr>
        <w:sz w:val="20"/>
      </w:rPr>
      <w:instrText xml:space="preserve"> PAGE   \* MERGEFORMAT </w:instrText>
    </w:r>
    <w:r w:rsidR="000371FA" w:rsidRPr="000371FA">
      <w:rPr>
        <w:sz w:val="20"/>
      </w:rPr>
      <w:fldChar w:fldCharType="separate"/>
    </w:r>
    <w:r w:rsidR="00965D3F" w:rsidRPr="00965D3F">
      <w:rPr>
        <w:noProof/>
      </w:rPr>
      <w:t>9</w:t>
    </w:r>
    <w:r w:rsidR="000371FA" w:rsidRPr="000371FA">
      <w:rPr>
        <w:noProof/>
        <w:sz w:val="20"/>
      </w:rPr>
      <w:fldChar w:fldCharType="end"/>
    </w:r>
  </w:p>
  <w:p w14:paraId="4C01D860" w14:textId="77777777" w:rsidR="00527023" w:rsidRPr="000371FA" w:rsidRDefault="00527023" w:rsidP="000371FA">
    <w:pPr>
      <w:pStyle w:val="Footer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AB1F" w14:textId="77777777" w:rsidR="00894BBC" w:rsidRDefault="00894BBC" w:rsidP="00527023">
      <w:pPr>
        <w:spacing w:after="0" w:line="240" w:lineRule="auto"/>
      </w:pPr>
      <w:r>
        <w:separator/>
      </w:r>
    </w:p>
  </w:footnote>
  <w:footnote w:type="continuationSeparator" w:id="0">
    <w:p w14:paraId="2F6FB2B5" w14:textId="77777777" w:rsidR="00894BBC" w:rsidRDefault="00894BBC" w:rsidP="0052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F5A7" w14:textId="1C8F2CDE" w:rsidR="00D059FA" w:rsidRPr="00D059FA" w:rsidRDefault="00D059FA" w:rsidP="00D059FA">
    <w:pPr>
      <w:pStyle w:val="Header"/>
      <w:jc w:val="right"/>
      <w:rPr>
        <w:i/>
        <w:sz w:val="20"/>
      </w:rPr>
    </w:pPr>
    <w:r w:rsidRPr="00D059FA">
      <w:rPr>
        <w:i/>
        <w:sz w:val="20"/>
      </w:rPr>
      <w:t xml:space="preserve">Updated </w:t>
    </w:r>
    <w:r w:rsidR="005E6D4F">
      <w:rPr>
        <w:i/>
        <w:sz w:val="20"/>
      </w:rPr>
      <w:t>June</w:t>
    </w:r>
    <w:r w:rsidRPr="00D059FA">
      <w:rPr>
        <w:i/>
        <w:sz w:val="20"/>
      </w:rPr>
      <w:t xml:space="preserve"> 20</w:t>
    </w:r>
    <w:r w:rsidR="00D328B6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5F2"/>
    <w:multiLevelType w:val="hybridMultilevel"/>
    <w:tmpl w:val="2E6C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041E9"/>
    <w:multiLevelType w:val="hybridMultilevel"/>
    <w:tmpl w:val="7E36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653C"/>
    <w:multiLevelType w:val="hybridMultilevel"/>
    <w:tmpl w:val="F5349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619A9"/>
    <w:multiLevelType w:val="hybridMultilevel"/>
    <w:tmpl w:val="5B46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037E0"/>
    <w:multiLevelType w:val="hybridMultilevel"/>
    <w:tmpl w:val="A5B4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B1148"/>
    <w:multiLevelType w:val="hybridMultilevel"/>
    <w:tmpl w:val="DB365E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40FFC"/>
    <w:multiLevelType w:val="hybridMultilevel"/>
    <w:tmpl w:val="A6AE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80BC4"/>
    <w:multiLevelType w:val="hybridMultilevel"/>
    <w:tmpl w:val="2E1C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63680">
    <w:abstractNumId w:val="5"/>
  </w:num>
  <w:num w:numId="2" w16cid:durableId="911278380">
    <w:abstractNumId w:val="0"/>
  </w:num>
  <w:num w:numId="3" w16cid:durableId="993751938">
    <w:abstractNumId w:val="3"/>
  </w:num>
  <w:num w:numId="4" w16cid:durableId="1115099523">
    <w:abstractNumId w:val="2"/>
  </w:num>
  <w:num w:numId="5" w16cid:durableId="1689912362">
    <w:abstractNumId w:val="4"/>
  </w:num>
  <w:num w:numId="6" w16cid:durableId="725681981">
    <w:abstractNumId w:val="6"/>
  </w:num>
  <w:num w:numId="7" w16cid:durableId="957684134">
    <w:abstractNumId w:val="1"/>
  </w:num>
  <w:num w:numId="8" w16cid:durableId="372968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FA"/>
    <w:rsid w:val="00021441"/>
    <w:rsid w:val="000371FA"/>
    <w:rsid w:val="00127CAF"/>
    <w:rsid w:val="00155EE2"/>
    <w:rsid w:val="00196248"/>
    <w:rsid w:val="002276FC"/>
    <w:rsid w:val="0024234C"/>
    <w:rsid w:val="00282955"/>
    <w:rsid w:val="003223B3"/>
    <w:rsid w:val="00382E7F"/>
    <w:rsid w:val="003D1C41"/>
    <w:rsid w:val="003E72AB"/>
    <w:rsid w:val="00491804"/>
    <w:rsid w:val="004A3A32"/>
    <w:rsid w:val="00527023"/>
    <w:rsid w:val="00530150"/>
    <w:rsid w:val="005544BC"/>
    <w:rsid w:val="00572F6F"/>
    <w:rsid w:val="005D6644"/>
    <w:rsid w:val="005E6D4F"/>
    <w:rsid w:val="00601BAC"/>
    <w:rsid w:val="008469C6"/>
    <w:rsid w:val="00865F38"/>
    <w:rsid w:val="00894BBC"/>
    <w:rsid w:val="00910A56"/>
    <w:rsid w:val="00944395"/>
    <w:rsid w:val="00965D3F"/>
    <w:rsid w:val="0098642C"/>
    <w:rsid w:val="009C5B5F"/>
    <w:rsid w:val="009E1FBC"/>
    <w:rsid w:val="00A20DE7"/>
    <w:rsid w:val="00A4227B"/>
    <w:rsid w:val="00A7212A"/>
    <w:rsid w:val="00AA305E"/>
    <w:rsid w:val="00B67BD9"/>
    <w:rsid w:val="00BA41F3"/>
    <w:rsid w:val="00BB3B14"/>
    <w:rsid w:val="00C37D9C"/>
    <w:rsid w:val="00C73C74"/>
    <w:rsid w:val="00CD3250"/>
    <w:rsid w:val="00CF6550"/>
    <w:rsid w:val="00D059FA"/>
    <w:rsid w:val="00D328B6"/>
    <w:rsid w:val="00D43CD3"/>
    <w:rsid w:val="00D504F0"/>
    <w:rsid w:val="00D62913"/>
    <w:rsid w:val="00DD2C77"/>
    <w:rsid w:val="00DD4558"/>
    <w:rsid w:val="00E33132"/>
    <w:rsid w:val="00E41457"/>
    <w:rsid w:val="00E43429"/>
    <w:rsid w:val="00EF1FE1"/>
    <w:rsid w:val="00F14056"/>
    <w:rsid w:val="00F333A2"/>
    <w:rsid w:val="00F3794D"/>
    <w:rsid w:val="00F83B0C"/>
    <w:rsid w:val="00F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51660A"/>
  <w15:docId w15:val="{0AA5898D-66B1-4795-85CA-6FA1C591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056"/>
    <w:pPr>
      <w:keepNext/>
      <w:keepLines/>
      <w:spacing w:after="240"/>
      <w:outlineLvl w:val="0"/>
    </w:pPr>
    <w:rPr>
      <w:rFonts w:eastAsiaTheme="majorEastAsia" w:cstheme="majorBidi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A2"/>
    <w:pPr>
      <w:keepNext/>
      <w:keepLines/>
      <w:pBdr>
        <w:bottom w:val="single" w:sz="8" w:space="1" w:color="7F7F7F" w:themeColor="text1" w:themeTint="80"/>
      </w:pBdr>
      <w:spacing w:before="100" w:beforeAutospacing="1" w:after="100" w:afterAutospacing="1" w:line="240" w:lineRule="auto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3A2"/>
    <w:pPr>
      <w:keepNext/>
      <w:keepLines/>
      <w:spacing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4B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483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DE7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4056"/>
    <w:rPr>
      <w:rFonts w:ascii="Arial" w:eastAsiaTheme="majorEastAsia" w:hAnsi="Arial" w:cstheme="majorBidi"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33A2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33A2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44BC"/>
    <w:rPr>
      <w:rFonts w:ascii="Arial" w:eastAsiaTheme="majorEastAsia" w:hAnsi="Arial" w:cstheme="majorBidi"/>
      <w:b/>
      <w:bCs/>
      <w:i/>
      <w:iCs/>
      <w:color w:val="00483A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rsid w:val="005544BC"/>
    <w:pPr>
      <w:pBdr>
        <w:bottom w:val="single" w:sz="8" w:space="4" w:color="27235A" w:themeColor="accent1"/>
      </w:pBdr>
      <w:spacing w:after="300" w:line="240" w:lineRule="auto"/>
      <w:contextualSpacing/>
    </w:pPr>
    <w:rPr>
      <w:rFonts w:eastAsiaTheme="majorEastAsia" w:cstheme="majorBidi"/>
      <w:color w:val="00352B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4BC"/>
    <w:rPr>
      <w:rFonts w:ascii="Arial" w:eastAsiaTheme="majorEastAsia" w:hAnsi="Arial" w:cstheme="majorBidi"/>
      <w:color w:val="00352B" w:themeColor="text2" w:themeShade="BF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441"/>
    <w:pPr>
      <w:numPr>
        <w:ilvl w:val="1"/>
      </w:numPr>
    </w:pPr>
    <w:rPr>
      <w:rFonts w:eastAsiaTheme="majorEastAsia" w:cstheme="majorBidi"/>
      <w:i/>
      <w:iCs/>
      <w:color w:val="27235A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441"/>
    <w:rPr>
      <w:rFonts w:ascii="Arial" w:eastAsiaTheme="majorEastAsia" w:hAnsi="Arial" w:cstheme="majorBidi"/>
      <w:i/>
      <w:iCs/>
      <w:color w:val="27235A" w:themeColor="accent1"/>
      <w:spacing w:val="15"/>
      <w:sz w:val="24"/>
      <w:szCs w:val="24"/>
    </w:rPr>
  </w:style>
  <w:style w:type="paragraph" w:customStyle="1" w:styleId="Title1">
    <w:name w:val="Title 1"/>
    <w:basedOn w:val="Heading1"/>
    <w:link w:val="Title1Char"/>
    <w:qFormat/>
    <w:rsid w:val="00491804"/>
    <w:pPr>
      <w:spacing w:before="240" w:after="360"/>
    </w:pPr>
    <w:rPr>
      <w:b/>
      <w:sz w:val="72"/>
      <w:szCs w:val="72"/>
    </w:rPr>
  </w:style>
  <w:style w:type="character" w:customStyle="1" w:styleId="Title1Char">
    <w:name w:val="Title 1 Char"/>
    <w:basedOn w:val="Heading1Char"/>
    <w:link w:val="Title1"/>
    <w:rsid w:val="00491804"/>
    <w:rPr>
      <w:rFonts w:ascii="Arial" w:eastAsiaTheme="majorEastAsia" w:hAnsi="Arial" w:cstheme="majorBidi"/>
      <w:b/>
      <w:bCs/>
      <w:color w:val="00483A" w:themeColor="text2"/>
      <w:sz w:val="72"/>
      <w:szCs w:val="72"/>
    </w:rPr>
  </w:style>
  <w:style w:type="paragraph" w:styleId="ListParagraph">
    <w:name w:val="List Paragraph"/>
    <w:basedOn w:val="Normal"/>
    <w:uiPriority w:val="34"/>
    <w:qFormat/>
    <w:rsid w:val="000214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2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27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2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59FA"/>
    <w:pPr>
      <w:spacing w:after="0" w:line="240" w:lineRule="auto"/>
    </w:pPr>
    <w:rPr>
      <w:rFonts w:ascii="Arial" w:eastAsia="Times New Roman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9FA"/>
    <w:rPr>
      <w:color w:val="3378C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C41"/>
    <w:rPr>
      <w:color w:val="B139A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CD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D32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early-years-foundation-stage-framework--2" TargetMode="External"/><Relationship Id="rId13" Type="http://schemas.openxmlformats.org/officeDocument/2006/relationships/hyperlink" Target="https://www.annafreud.org/schools-and-colleges/5-steps-to-mental-health-and-wellbeing/supporting-staff/promote-staff-mental-health-and-wellbeing/" TargetMode="External"/><Relationship Id="rId18" Type="http://schemas.openxmlformats.org/officeDocument/2006/relationships/hyperlink" Target="https://www2.oxfordshire.gov.uk/cms/public-site/early-years-sen-toolk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chools.oxfordshire.gov.uk/cms/sites/schools/files/folders/folders/documents/SEN/guidance/personal_care_policy_document.pdf" TargetMode="External"/><Relationship Id="rId17" Type="http://schemas.openxmlformats.org/officeDocument/2006/relationships/hyperlink" Target="https://www.oxfordshire.gov.uk/business/information-providers/childrens-services-providers/send-information-provide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xfordshire.gov.uk/residents/children-education-and-families/education-and-learning/special-educational-needs-and-disability-local-offer?utm_content=&amp;utm_term=ni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xfordshire.gov.uk/business/information-providers/childrens-services-providers/support-early-years-providers/transition-pa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xfordshire.gov.uk/residents/children-education-and-families/early-years-education/free-education-2-year-olds" TargetMode="External"/><Relationship Id="rId10" Type="http://schemas.openxmlformats.org/officeDocument/2006/relationships/hyperlink" Target="https://www.oxfordshire.gov.uk/business/information-providers/childrens-services-providers/support-early-years-providers/2-year-old-review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development-matters--2" TargetMode="External"/><Relationship Id="rId14" Type="http://schemas.openxmlformats.org/officeDocument/2006/relationships/hyperlink" Target="https://www.annafreud.org/early-year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- OCC">
      <a:dk1>
        <a:sysClr val="windowText" lastClr="000000"/>
      </a:dk1>
      <a:lt1>
        <a:sysClr val="window" lastClr="FFFFFF"/>
      </a:lt1>
      <a:dk2>
        <a:srgbClr val="00483A"/>
      </a:dk2>
      <a:lt2>
        <a:srgbClr val="7FA39C"/>
      </a:lt2>
      <a:accent1>
        <a:srgbClr val="27235A"/>
      </a:accent1>
      <a:accent2>
        <a:srgbClr val="6460AB"/>
      </a:accent2>
      <a:accent3>
        <a:srgbClr val="50B948"/>
      </a:accent3>
      <a:accent4>
        <a:srgbClr val="EC008C"/>
      </a:accent4>
      <a:accent5>
        <a:srgbClr val="6E1B2D"/>
      </a:accent5>
      <a:accent6>
        <a:srgbClr val="F7941E"/>
      </a:accent6>
      <a:hlink>
        <a:srgbClr val="3378CB"/>
      </a:hlink>
      <a:folHlink>
        <a:srgbClr val="B139A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A4DC-AE3C-4A04-9B84-789FB929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1631</Words>
  <Characters>9298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jack.yuille</dc:creator>
  <cp:lastModifiedBy>White, Suzanne - Oxfordshire County Council</cp:lastModifiedBy>
  <cp:revision>2</cp:revision>
  <cp:lastPrinted>2015-08-28T13:50:00Z</cp:lastPrinted>
  <dcterms:created xsi:type="dcterms:W3CDTF">2024-01-18T14:09:00Z</dcterms:created>
  <dcterms:modified xsi:type="dcterms:W3CDTF">2024-01-18T14:09:00Z</dcterms:modified>
</cp:coreProperties>
</file>