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DBEC1" w14:textId="46D963DF" w:rsidR="00995855" w:rsidRDefault="00995855" w:rsidP="0037052F">
      <w:pPr>
        <w:jc w:val="right"/>
        <w:rPr>
          <w:b/>
          <w:sz w:val="32"/>
          <w:szCs w:val="32"/>
        </w:rPr>
      </w:pPr>
    </w:p>
    <w:p w14:paraId="0940C813" w14:textId="154844F1" w:rsidR="00995855" w:rsidRDefault="00995855" w:rsidP="00995855">
      <w:pPr>
        <w:jc w:val="center"/>
        <w:rPr>
          <w:b/>
          <w:sz w:val="32"/>
          <w:szCs w:val="32"/>
        </w:rPr>
      </w:pPr>
    </w:p>
    <w:p w14:paraId="10898255" w14:textId="7E0CA2B2" w:rsidR="00995855" w:rsidRDefault="00995855" w:rsidP="00995855">
      <w:pPr>
        <w:jc w:val="center"/>
        <w:rPr>
          <w:b/>
          <w:sz w:val="32"/>
          <w:szCs w:val="32"/>
        </w:rPr>
      </w:pPr>
    </w:p>
    <w:p w14:paraId="45CA9241" w14:textId="77777777" w:rsidR="00EF4EEF" w:rsidRPr="00063160" w:rsidRDefault="00EF4EEF" w:rsidP="00995855">
      <w:pPr>
        <w:jc w:val="center"/>
        <w:rPr>
          <w:b/>
          <w:sz w:val="32"/>
          <w:szCs w:val="32"/>
        </w:rPr>
      </w:pPr>
    </w:p>
    <w:p w14:paraId="280BCDE7" w14:textId="5F8FE47F" w:rsidR="00995855" w:rsidRPr="00995855" w:rsidRDefault="00995855" w:rsidP="00995855">
      <w:pPr>
        <w:jc w:val="center"/>
        <w:rPr>
          <w:rFonts w:ascii="Arial" w:hAnsi="Arial" w:cs="Arial"/>
          <w:b/>
          <w:sz w:val="28"/>
          <w:szCs w:val="28"/>
        </w:rPr>
      </w:pPr>
      <w:r w:rsidRPr="00995855">
        <w:rPr>
          <w:rFonts w:ascii="Arial" w:hAnsi="Arial" w:cs="Arial"/>
          <w:b/>
          <w:sz w:val="28"/>
          <w:szCs w:val="28"/>
        </w:rPr>
        <w:t>Cost of Care</w:t>
      </w:r>
      <w:r w:rsidR="00D17D29">
        <w:rPr>
          <w:rFonts w:ascii="Arial" w:hAnsi="Arial" w:cs="Arial"/>
          <w:b/>
          <w:sz w:val="28"/>
          <w:szCs w:val="28"/>
        </w:rPr>
        <w:t xml:space="preserve"> (CoC)</w:t>
      </w:r>
    </w:p>
    <w:p w14:paraId="67E6DDF3" w14:textId="77777777" w:rsidR="00995855" w:rsidRPr="00995855" w:rsidRDefault="00995855" w:rsidP="00995855">
      <w:pPr>
        <w:jc w:val="center"/>
        <w:rPr>
          <w:rFonts w:ascii="Arial" w:hAnsi="Arial" w:cs="Arial"/>
          <w:b/>
          <w:sz w:val="28"/>
          <w:szCs w:val="28"/>
        </w:rPr>
      </w:pPr>
      <w:r w:rsidRPr="00995855">
        <w:rPr>
          <w:rFonts w:ascii="Arial" w:hAnsi="Arial" w:cs="Arial"/>
          <w:b/>
          <w:sz w:val="28"/>
          <w:szCs w:val="28"/>
        </w:rPr>
        <w:t>Care Homes for Older People (65+)</w:t>
      </w:r>
    </w:p>
    <w:p w14:paraId="1EDD949D" w14:textId="3912A40C" w:rsidR="00995855" w:rsidRPr="00995855" w:rsidRDefault="00995855" w:rsidP="00995855">
      <w:pPr>
        <w:jc w:val="center"/>
        <w:rPr>
          <w:rFonts w:ascii="Arial" w:hAnsi="Arial" w:cs="Arial"/>
          <w:b/>
          <w:sz w:val="28"/>
          <w:szCs w:val="28"/>
        </w:rPr>
      </w:pPr>
      <w:r w:rsidRPr="00995855">
        <w:rPr>
          <w:rFonts w:ascii="Arial" w:hAnsi="Arial" w:cs="Arial"/>
          <w:b/>
          <w:sz w:val="28"/>
          <w:szCs w:val="28"/>
        </w:rPr>
        <w:t xml:space="preserve">Results and Analysis from Toolkits submitted by Providers located in </w:t>
      </w:r>
    </w:p>
    <w:p w14:paraId="359AFCA3" w14:textId="77777777" w:rsidR="00995855" w:rsidRPr="00995855" w:rsidRDefault="00995855" w:rsidP="00995855">
      <w:pPr>
        <w:jc w:val="center"/>
        <w:rPr>
          <w:rFonts w:ascii="Arial" w:hAnsi="Arial" w:cs="Arial"/>
          <w:b/>
          <w:sz w:val="28"/>
          <w:szCs w:val="28"/>
        </w:rPr>
      </w:pPr>
      <w:r w:rsidRPr="00995855">
        <w:rPr>
          <w:rFonts w:ascii="Arial" w:hAnsi="Arial" w:cs="Arial"/>
          <w:b/>
          <w:sz w:val="28"/>
          <w:szCs w:val="28"/>
        </w:rPr>
        <w:t>Oxfordshire County Council</w:t>
      </w:r>
    </w:p>
    <w:p w14:paraId="15DADC7F" w14:textId="77777777" w:rsidR="00995855" w:rsidRDefault="00995855" w:rsidP="00995855">
      <w:pPr>
        <w:jc w:val="center"/>
        <w:rPr>
          <w:b/>
          <w:sz w:val="32"/>
          <w:szCs w:val="32"/>
        </w:rPr>
      </w:pPr>
    </w:p>
    <w:p w14:paraId="6C5D2B11" w14:textId="396275A3" w:rsidR="00FD3A85" w:rsidRDefault="00FD3A85"/>
    <w:p w14:paraId="67ACB1EF" w14:textId="7256D661" w:rsidR="00BF0C19" w:rsidRDefault="00BF0C19" w:rsidP="00995855">
      <w:pPr>
        <w:keepNext/>
        <w:tabs>
          <w:tab w:val="num" w:pos="0"/>
        </w:tabs>
        <w:suppressAutoHyphens/>
        <w:spacing w:after="0" w:line="240" w:lineRule="auto"/>
        <w:outlineLvl w:val="0"/>
      </w:pPr>
    </w:p>
    <w:p w14:paraId="086B456C" w14:textId="1652EF38" w:rsidR="008E21F0" w:rsidRDefault="008E21F0" w:rsidP="00995855">
      <w:pPr>
        <w:keepNext/>
        <w:tabs>
          <w:tab w:val="num" w:pos="0"/>
        </w:tabs>
        <w:suppressAutoHyphens/>
        <w:spacing w:after="0" w:line="240" w:lineRule="auto"/>
        <w:outlineLvl w:val="0"/>
      </w:pPr>
    </w:p>
    <w:p w14:paraId="06AFE68D" w14:textId="252C7356" w:rsidR="008E21F0" w:rsidRDefault="008E21F0" w:rsidP="00995855">
      <w:pPr>
        <w:keepNext/>
        <w:tabs>
          <w:tab w:val="num" w:pos="0"/>
        </w:tabs>
        <w:suppressAutoHyphens/>
        <w:spacing w:after="0" w:line="240" w:lineRule="auto"/>
        <w:outlineLvl w:val="0"/>
      </w:pPr>
    </w:p>
    <w:p w14:paraId="355161FD" w14:textId="0E290626" w:rsidR="008E21F0" w:rsidRDefault="008E21F0" w:rsidP="00995855">
      <w:pPr>
        <w:keepNext/>
        <w:tabs>
          <w:tab w:val="num" w:pos="0"/>
        </w:tabs>
        <w:suppressAutoHyphens/>
        <w:spacing w:after="0" w:line="240" w:lineRule="auto"/>
        <w:outlineLvl w:val="0"/>
      </w:pPr>
    </w:p>
    <w:p w14:paraId="56DD8E1C" w14:textId="0CA1ABC1" w:rsidR="008E21F0" w:rsidRDefault="008E21F0" w:rsidP="00995855">
      <w:pPr>
        <w:keepNext/>
        <w:tabs>
          <w:tab w:val="num" w:pos="0"/>
        </w:tabs>
        <w:suppressAutoHyphens/>
        <w:spacing w:after="0" w:line="240" w:lineRule="auto"/>
        <w:outlineLvl w:val="0"/>
      </w:pPr>
    </w:p>
    <w:p w14:paraId="3146CDF3" w14:textId="0457BE05" w:rsidR="008E21F0" w:rsidRDefault="008E21F0" w:rsidP="00995855">
      <w:pPr>
        <w:keepNext/>
        <w:tabs>
          <w:tab w:val="num" w:pos="0"/>
        </w:tabs>
        <w:suppressAutoHyphens/>
        <w:spacing w:after="0" w:line="240" w:lineRule="auto"/>
        <w:outlineLvl w:val="0"/>
      </w:pPr>
    </w:p>
    <w:p w14:paraId="35217805" w14:textId="6006261D" w:rsidR="008E21F0" w:rsidRDefault="008E21F0" w:rsidP="00995855">
      <w:pPr>
        <w:keepNext/>
        <w:tabs>
          <w:tab w:val="num" w:pos="0"/>
        </w:tabs>
        <w:suppressAutoHyphens/>
        <w:spacing w:after="0" w:line="240" w:lineRule="auto"/>
        <w:outlineLvl w:val="0"/>
      </w:pPr>
    </w:p>
    <w:p w14:paraId="66F11F9E" w14:textId="4B56DE9E" w:rsidR="008E21F0" w:rsidRDefault="008E21F0" w:rsidP="00995855">
      <w:pPr>
        <w:keepNext/>
        <w:tabs>
          <w:tab w:val="num" w:pos="0"/>
        </w:tabs>
        <w:suppressAutoHyphens/>
        <w:spacing w:after="0" w:line="240" w:lineRule="auto"/>
        <w:outlineLvl w:val="0"/>
      </w:pPr>
    </w:p>
    <w:p w14:paraId="5EA734A7" w14:textId="4F9BE207" w:rsidR="008E21F0" w:rsidRDefault="008E21F0" w:rsidP="00995855">
      <w:pPr>
        <w:keepNext/>
        <w:tabs>
          <w:tab w:val="num" w:pos="0"/>
        </w:tabs>
        <w:suppressAutoHyphens/>
        <w:spacing w:after="0" w:line="240" w:lineRule="auto"/>
        <w:outlineLvl w:val="0"/>
      </w:pPr>
    </w:p>
    <w:p w14:paraId="2A3B0DF2" w14:textId="3692C9DE" w:rsidR="008E21F0" w:rsidRDefault="008E21F0" w:rsidP="00995855">
      <w:pPr>
        <w:keepNext/>
        <w:tabs>
          <w:tab w:val="num" w:pos="0"/>
        </w:tabs>
        <w:suppressAutoHyphens/>
        <w:spacing w:after="0" w:line="240" w:lineRule="auto"/>
        <w:outlineLvl w:val="0"/>
      </w:pPr>
    </w:p>
    <w:p w14:paraId="38571208" w14:textId="7F5B8236" w:rsidR="008E21F0" w:rsidRDefault="008E21F0" w:rsidP="00995855">
      <w:pPr>
        <w:keepNext/>
        <w:tabs>
          <w:tab w:val="num" w:pos="0"/>
        </w:tabs>
        <w:suppressAutoHyphens/>
        <w:spacing w:after="0" w:line="240" w:lineRule="auto"/>
        <w:outlineLvl w:val="0"/>
      </w:pPr>
    </w:p>
    <w:p w14:paraId="749F527E" w14:textId="1F2C95CD" w:rsidR="008E21F0" w:rsidRDefault="008E21F0" w:rsidP="00995855">
      <w:pPr>
        <w:keepNext/>
        <w:tabs>
          <w:tab w:val="num" w:pos="0"/>
        </w:tabs>
        <w:suppressAutoHyphens/>
        <w:spacing w:after="0" w:line="240" w:lineRule="auto"/>
        <w:outlineLvl w:val="0"/>
      </w:pPr>
    </w:p>
    <w:p w14:paraId="0C7B8DDA" w14:textId="7AFD9665" w:rsidR="008E21F0" w:rsidRDefault="008E21F0" w:rsidP="00995855">
      <w:pPr>
        <w:keepNext/>
        <w:tabs>
          <w:tab w:val="num" w:pos="0"/>
        </w:tabs>
        <w:suppressAutoHyphens/>
        <w:spacing w:after="0" w:line="240" w:lineRule="auto"/>
        <w:outlineLvl w:val="0"/>
      </w:pPr>
    </w:p>
    <w:p w14:paraId="6D7F955A" w14:textId="529196DB" w:rsidR="008E21F0" w:rsidRDefault="008E21F0" w:rsidP="00995855">
      <w:pPr>
        <w:keepNext/>
        <w:tabs>
          <w:tab w:val="num" w:pos="0"/>
        </w:tabs>
        <w:suppressAutoHyphens/>
        <w:spacing w:after="0" w:line="240" w:lineRule="auto"/>
        <w:outlineLvl w:val="0"/>
      </w:pPr>
    </w:p>
    <w:p w14:paraId="36551E76" w14:textId="7A7E529B" w:rsidR="008E21F0" w:rsidRDefault="008E21F0" w:rsidP="00995855">
      <w:pPr>
        <w:keepNext/>
        <w:tabs>
          <w:tab w:val="num" w:pos="0"/>
        </w:tabs>
        <w:suppressAutoHyphens/>
        <w:spacing w:after="0" w:line="240" w:lineRule="auto"/>
        <w:outlineLvl w:val="0"/>
      </w:pPr>
    </w:p>
    <w:p w14:paraId="5B33F7EC" w14:textId="73BAFD0F" w:rsidR="008E21F0" w:rsidRDefault="008E21F0" w:rsidP="00995855">
      <w:pPr>
        <w:keepNext/>
        <w:tabs>
          <w:tab w:val="num" w:pos="0"/>
        </w:tabs>
        <w:suppressAutoHyphens/>
        <w:spacing w:after="0" w:line="240" w:lineRule="auto"/>
        <w:outlineLvl w:val="0"/>
      </w:pPr>
    </w:p>
    <w:p w14:paraId="678B30F7" w14:textId="61E27222" w:rsidR="008E21F0" w:rsidRDefault="008E21F0" w:rsidP="00995855">
      <w:pPr>
        <w:keepNext/>
        <w:tabs>
          <w:tab w:val="num" w:pos="0"/>
        </w:tabs>
        <w:suppressAutoHyphens/>
        <w:spacing w:after="0" w:line="240" w:lineRule="auto"/>
        <w:outlineLvl w:val="0"/>
      </w:pPr>
    </w:p>
    <w:p w14:paraId="47416C9A" w14:textId="33F01927" w:rsidR="008E21F0" w:rsidRDefault="008E21F0" w:rsidP="00995855">
      <w:pPr>
        <w:keepNext/>
        <w:tabs>
          <w:tab w:val="num" w:pos="0"/>
        </w:tabs>
        <w:suppressAutoHyphens/>
        <w:spacing w:after="0" w:line="240" w:lineRule="auto"/>
        <w:outlineLvl w:val="0"/>
      </w:pPr>
    </w:p>
    <w:p w14:paraId="1D01B267" w14:textId="6525ECF6" w:rsidR="008E21F0" w:rsidRDefault="008E21F0" w:rsidP="00995855">
      <w:pPr>
        <w:keepNext/>
        <w:tabs>
          <w:tab w:val="num" w:pos="0"/>
        </w:tabs>
        <w:suppressAutoHyphens/>
        <w:spacing w:after="0" w:line="240" w:lineRule="auto"/>
        <w:outlineLvl w:val="0"/>
      </w:pPr>
    </w:p>
    <w:p w14:paraId="7B008782" w14:textId="5E5B86E0" w:rsidR="008E21F0" w:rsidRDefault="008E21F0" w:rsidP="00995855">
      <w:pPr>
        <w:keepNext/>
        <w:tabs>
          <w:tab w:val="num" w:pos="0"/>
        </w:tabs>
        <w:suppressAutoHyphens/>
        <w:spacing w:after="0" w:line="240" w:lineRule="auto"/>
        <w:outlineLvl w:val="0"/>
      </w:pPr>
    </w:p>
    <w:p w14:paraId="78523AEE" w14:textId="05ABAA76" w:rsidR="008E21F0" w:rsidRDefault="008E21F0" w:rsidP="00995855">
      <w:pPr>
        <w:keepNext/>
        <w:tabs>
          <w:tab w:val="num" w:pos="0"/>
        </w:tabs>
        <w:suppressAutoHyphens/>
        <w:spacing w:after="0" w:line="240" w:lineRule="auto"/>
        <w:outlineLvl w:val="0"/>
      </w:pPr>
    </w:p>
    <w:p w14:paraId="25B716DC" w14:textId="7BF4ACEA" w:rsidR="008E21F0" w:rsidRDefault="008E21F0" w:rsidP="00995855">
      <w:pPr>
        <w:keepNext/>
        <w:tabs>
          <w:tab w:val="num" w:pos="0"/>
        </w:tabs>
        <w:suppressAutoHyphens/>
        <w:spacing w:after="0" w:line="240" w:lineRule="auto"/>
        <w:outlineLvl w:val="0"/>
      </w:pPr>
    </w:p>
    <w:p w14:paraId="749A99A5" w14:textId="6A054CE5" w:rsidR="008E21F0" w:rsidRDefault="008E21F0" w:rsidP="00995855">
      <w:pPr>
        <w:keepNext/>
        <w:tabs>
          <w:tab w:val="num" w:pos="0"/>
        </w:tabs>
        <w:suppressAutoHyphens/>
        <w:spacing w:after="0" w:line="240" w:lineRule="auto"/>
        <w:outlineLvl w:val="0"/>
      </w:pPr>
    </w:p>
    <w:p w14:paraId="6863D411" w14:textId="58CB7913" w:rsidR="008E21F0" w:rsidRDefault="008E21F0" w:rsidP="00995855">
      <w:pPr>
        <w:keepNext/>
        <w:tabs>
          <w:tab w:val="num" w:pos="0"/>
        </w:tabs>
        <w:suppressAutoHyphens/>
        <w:spacing w:after="0" w:line="240" w:lineRule="auto"/>
        <w:outlineLvl w:val="0"/>
      </w:pPr>
    </w:p>
    <w:p w14:paraId="4E8DFD2A" w14:textId="4FCC2E5B" w:rsidR="008E21F0" w:rsidRDefault="008E21F0" w:rsidP="00995855">
      <w:pPr>
        <w:keepNext/>
        <w:tabs>
          <w:tab w:val="num" w:pos="0"/>
        </w:tabs>
        <w:suppressAutoHyphens/>
        <w:spacing w:after="0" w:line="240" w:lineRule="auto"/>
        <w:outlineLvl w:val="0"/>
      </w:pPr>
    </w:p>
    <w:p w14:paraId="29E6B6D7" w14:textId="77777777" w:rsidR="00BF0C19" w:rsidRDefault="00BF0C19" w:rsidP="00995855">
      <w:pPr>
        <w:keepNext/>
        <w:tabs>
          <w:tab w:val="num" w:pos="0"/>
        </w:tabs>
        <w:suppressAutoHyphens/>
        <w:spacing w:after="0" w:line="240" w:lineRule="auto"/>
        <w:outlineLvl w:val="0"/>
      </w:pPr>
    </w:p>
    <w:p w14:paraId="09B92276" w14:textId="77777777" w:rsidR="008E21F0" w:rsidRDefault="008E21F0" w:rsidP="00995855">
      <w:pPr>
        <w:keepNext/>
        <w:tabs>
          <w:tab w:val="num" w:pos="0"/>
        </w:tabs>
        <w:suppressAutoHyphens/>
        <w:spacing w:after="0" w:line="240" w:lineRule="auto"/>
        <w:outlineLvl w:val="0"/>
        <w:rPr>
          <w:rFonts w:ascii="Arial" w:eastAsia="Times New Roman" w:hAnsi="Arial" w:cs="Arial"/>
          <w:b/>
          <w:bCs/>
          <w:color w:val="auto"/>
          <w:lang w:eastAsia="en-GB"/>
        </w:rPr>
      </w:pPr>
    </w:p>
    <w:p w14:paraId="06D34ADE" w14:textId="77777777" w:rsidR="00995855" w:rsidRPr="0084182A" w:rsidRDefault="00995855" w:rsidP="00995855">
      <w:pPr>
        <w:spacing w:after="0" w:line="280" w:lineRule="exact"/>
        <w:jc w:val="both"/>
        <w:rPr>
          <w:rFonts w:ascii="Arial" w:hAnsi="Arial" w:cs="Arial"/>
          <w:color w:val="auto"/>
        </w:rPr>
      </w:pPr>
    </w:p>
    <w:p w14:paraId="7D1C528B" w14:textId="77777777" w:rsidR="008E21F0" w:rsidRDefault="008E21F0" w:rsidP="00995855">
      <w:pPr>
        <w:spacing w:after="0" w:line="280" w:lineRule="exact"/>
        <w:jc w:val="both"/>
        <w:rPr>
          <w:rFonts w:ascii="Arial" w:hAnsi="Arial" w:cs="Arial"/>
          <w:color w:val="auto"/>
        </w:rPr>
      </w:pPr>
    </w:p>
    <w:p w14:paraId="0FC92067" w14:textId="77777777" w:rsidR="008E21F0" w:rsidRPr="0084182A" w:rsidRDefault="008E21F0" w:rsidP="008E21F0">
      <w:pPr>
        <w:keepNext/>
        <w:tabs>
          <w:tab w:val="num" w:pos="0"/>
        </w:tabs>
        <w:suppressAutoHyphens/>
        <w:spacing w:after="0" w:line="240" w:lineRule="auto"/>
        <w:outlineLvl w:val="0"/>
        <w:rPr>
          <w:rFonts w:ascii="Arial" w:eastAsia="Times New Roman" w:hAnsi="Arial" w:cs="Arial"/>
          <w:b/>
          <w:bCs/>
          <w:color w:val="auto"/>
          <w:lang w:eastAsia="en-GB"/>
        </w:rPr>
      </w:pPr>
      <w:r w:rsidRPr="0084182A">
        <w:rPr>
          <w:rFonts w:ascii="Arial" w:eastAsia="Times New Roman" w:hAnsi="Arial" w:cs="Arial"/>
          <w:b/>
          <w:bCs/>
          <w:color w:val="auto"/>
          <w:lang w:eastAsia="en-GB"/>
        </w:rPr>
        <w:lastRenderedPageBreak/>
        <w:t>EXECUTIVE SUMMARY</w:t>
      </w:r>
    </w:p>
    <w:p w14:paraId="4A2F3320" w14:textId="77777777" w:rsidR="008E21F0" w:rsidRDefault="008E21F0" w:rsidP="00995855">
      <w:pPr>
        <w:spacing w:after="0" w:line="280" w:lineRule="exact"/>
        <w:jc w:val="both"/>
        <w:rPr>
          <w:rFonts w:ascii="Arial" w:hAnsi="Arial" w:cs="Arial"/>
          <w:color w:val="auto"/>
        </w:rPr>
      </w:pPr>
    </w:p>
    <w:p w14:paraId="72EBCB23" w14:textId="780FBD8F" w:rsidR="00995855" w:rsidRPr="0084182A" w:rsidRDefault="00995855" w:rsidP="00610FD0">
      <w:pPr>
        <w:spacing w:after="0" w:line="280" w:lineRule="exact"/>
        <w:jc w:val="both"/>
        <w:rPr>
          <w:rFonts w:ascii="Arial" w:hAnsi="Arial" w:cs="Arial"/>
          <w:color w:val="auto"/>
        </w:rPr>
      </w:pPr>
      <w:r w:rsidRPr="0084182A">
        <w:rPr>
          <w:rFonts w:ascii="Arial" w:hAnsi="Arial" w:cs="Arial"/>
          <w:color w:val="auto"/>
        </w:rPr>
        <w:t>LaingBuisson was commissioned by Oxfordshire County Council in June 2022 to undertake a Cost of Care (</w:t>
      </w:r>
      <w:r w:rsidR="0029380F">
        <w:rPr>
          <w:rFonts w:ascii="Arial" w:hAnsi="Arial" w:cs="Arial"/>
          <w:color w:val="auto"/>
        </w:rPr>
        <w:t>CoC</w:t>
      </w:r>
      <w:r w:rsidRPr="0084182A">
        <w:rPr>
          <w:rFonts w:ascii="Arial" w:hAnsi="Arial" w:cs="Arial"/>
          <w:color w:val="auto"/>
        </w:rPr>
        <w:t>) exercise covering registered care homes for older people (65+), as described, and specified in government guidance</w:t>
      </w:r>
      <w:r w:rsidRPr="0084182A">
        <w:rPr>
          <w:rFonts w:ascii="Arial" w:hAnsi="Arial" w:cs="Arial"/>
          <w:color w:val="auto"/>
          <w:vertAlign w:val="superscript"/>
        </w:rPr>
        <w:footnoteReference w:id="1"/>
      </w:r>
      <w:r w:rsidRPr="0084182A">
        <w:rPr>
          <w:rFonts w:ascii="Arial" w:hAnsi="Arial" w:cs="Arial"/>
          <w:color w:val="auto"/>
        </w:rPr>
        <w:t>.</w:t>
      </w:r>
    </w:p>
    <w:p w14:paraId="5ADCE929" w14:textId="77777777" w:rsidR="00995855" w:rsidRPr="0084182A" w:rsidRDefault="00995855" w:rsidP="00610FD0">
      <w:pPr>
        <w:spacing w:after="0" w:line="280" w:lineRule="exact"/>
        <w:jc w:val="both"/>
        <w:rPr>
          <w:rFonts w:ascii="Arial" w:hAnsi="Arial" w:cs="Arial"/>
          <w:color w:val="auto"/>
        </w:rPr>
      </w:pPr>
    </w:p>
    <w:p w14:paraId="24D13A31" w14:textId="7F6ED347" w:rsidR="008534E0" w:rsidRDefault="00995855" w:rsidP="00610FD0">
      <w:pPr>
        <w:spacing w:after="0" w:line="280" w:lineRule="exact"/>
        <w:jc w:val="both"/>
        <w:rPr>
          <w:rFonts w:ascii="Arial" w:hAnsi="Arial" w:cs="Arial"/>
          <w:color w:val="auto"/>
        </w:rPr>
      </w:pPr>
      <w:r w:rsidRPr="0084182A">
        <w:rPr>
          <w:rFonts w:ascii="Arial" w:hAnsi="Arial" w:cs="Arial"/>
          <w:color w:val="auto"/>
        </w:rPr>
        <w:t xml:space="preserve">This </w:t>
      </w:r>
      <w:r w:rsidR="00BF0C19">
        <w:rPr>
          <w:rFonts w:ascii="Arial" w:hAnsi="Arial" w:cs="Arial"/>
          <w:color w:val="auto"/>
        </w:rPr>
        <w:t xml:space="preserve">written </w:t>
      </w:r>
      <w:r w:rsidRPr="0084182A">
        <w:rPr>
          <w:rFonts w:ascii="Arial" w:hAnsi="Arial" w:cs="Arial"/>
          <w:color w:val="auto"/>
        </w:rPr>
        <w:t>report is based on validated submissions relating to individual, registered care home services within the</w:t>
      </w:r>
      <w:r w:rsidR="00B31F72">
        <w:rPr>
          <w:rFonts w:ascii="Arial" w:hAnsi="Arial" w:cs="Arial"/>
          <w:color w:val="auto"/>
        </w:rPr>
        <w:t xml:space="preserve"> </w:t>
      </w:r>
      <w:r w:rsidRPr="0084182A">
        <w:rPr>
          <w:rFonts w:ascii="Arial" w:hAnsi="Arial" w:cs="Arial"/>
          <w:color w:val="auto"/>
        </w:rPr>
        <w:t>council’s boundaries which responded via the DHSC</w:t>
      </w:r>
      <w:r w:rsidR="00287D1C">
        <w:rPr>
          <w:rFonts w:ascii="Arial" w:hAnsi="Arial" w:cs="Arial"/>
          <w:color w:val="auto"/>
        </w:rPr>
        <w:t xml:space="preserve"> </w:t>
      </w:r>
      <w:r w:rsidRPr="0084182A">
        <w:rPr>
          <w:rFonts w:ascii="Arial" w:hAnsi="Arial" w:cs="Arial"/>
          <w:color w:val="auto"/>
        </w:rPr>
        <w:t>recommended CareCubed portal hosted by iESE. In the validation process, toolkit submissions were checked by LaingBuisson for sense and consistency and anomalies were amended as necessary with the agreement of providers.</w:t>
      </w:r>
    </w:p>
    <w:p w14:paraId="4EF21222" w14:textId="77777777" w:rsidR="00C6140F" w:rsidRPr="00C6140F" w:rsidRDefault="00C6140F" w:rsidP="00610FD0">
      <w:pPr>
        <w:spacing w:after="0" w:line="280" w:lineRule="exact"/>
        <w:jc w:val="both"/>
        <w:rPr>
          <w:rFonts w:ascii="Arial" w:hAnsi="Arial" w:cs="Arial"/>
          <w:color w:val="auto"/>
        </w:rPr>
      </w:pPr>
    </w:p>
    <w:p w14:paraId="7B6FDE39" w14:textId="68133EA0" w:rsidR="001D2EEA" w:rsidRPr="001D2EEA" w:rsidRDefault="001D2EEA" w:rsidP="001D2EEA">
      <w:pPr>
        <w:suppressAutoHyphens/>
        <w:spacing w:after="240" w:line="280" w:lineRule="exact"/>
        <w:jc w:val="both"/>
        <w:rPr>
          <w:rFonts w:ascii="Arial" w:eastAsia="Times New Roman" w:hAnsi="Arial" w:cs="Arial"/>
          <w:color w:val="auto"/>
          <w:lang w:eastAsia="en-GB"/>
        </w:rPr>
      </w:pPr>
      <w:r w:rsidRPr="001D2EEA">
        <w:rPr>
          <w:rFonts w:ascii="Arial" w:eastAsia="Times New Roman" w:hAnsi="Arial" w:cs="Arial"/>
          <w:color w:val="auto"/>
          <w:lang w:eastAsia="en-GB"/>
        </w:rPr>
        <w:t xml:space="preserve">The Council has carefully reviewed the </w:t>
      </w:r>
      <w:r w:rsidR="00D17D29">
        <w:rPr>
          <w:rFonts w:ascii="Arial" w:eastAsia="Times New Roman" w:hAnsi="Arial" w:cs="Arial"/>
          <w:color w:val="auto"/>
          <w:lang w:eastAsia="en-GB"/>
        </w:rPr>
        <w:t xml:space="preserve">cost </w:t>
      </w:r>
      <w:r w:rsidRPr="001D2EEA">
        <w:rPr>
          <w:rFonts w:ascii="Arial" w:eastAsia="Times New Roman" w:hAnsi="Arial" w:cs="Arial"/>
          <w:color w:val="auto"/>
          <w:lang w:eastAsia="en-GB"/>
        </w:rPr>
        <w:t xml:space="preserve">of </w:t>
      </w:r>
      <w:r w:rsidR="00710951">
        <w:rPr>
          <w:rFonts w:ascii="Arial" w:eastAsia="Times New Roman" w:hAnsi="Arial" w:cs="Arial"/>
          <w:color w:val="auto"/>
          <w:lang w:eastAsia="en-GB"/>
        </w:rPr>
        <w:t>c</w:t>
      </w:r>
      <w:r w:rsidR="00710951" w:rsidRPr="001D2EEA">
        <w:rPr>
          <w:rFonts w:ascii="Arial" w:eastAsia="Times New Roman" w:hAnsi="Arial" w:cs="Arial"/>
          <w:color w:val="auto"/>
          <w:lang w:eastAsia="en-GB"/>
        </w:rPr>
        <w:t xml:space="preserve">are </w:t>
      </w:r>
      <w:r w:rsidRPr="001D2EEA">
        <w:rPr>
          <w:rFonts w:ascii="Arial" w:eastAsia="Times New Roman" w:hAnsi="Arial" w:cs="Arial"/>
          <w:color w:val="auto"/>
          <w:lang w:eastAsia="en-GB"/>
        </w:rPr>
        <w:t xml:space="preserve">analysis undertaken by LaingBuisson and share a number </w:t>
      </w:r>
      <w:r w:rsidR="0052200A">
        <w:rPr>
          <w:rFonts w:ascii="Arial" w:eastAsia="Times New Roman" w:hAnsi="Arial" w:cs="Arial"/>
          <w:color w:val="auto"/>
          <w:lang w:eastAsia="en-GB"/>
        </w:rPr>
        <w:t xml:space="preserve">of </w:t>
      </w:r>
      <w:r w:rsidRPr="001D2EEA">
        <w:rPr>
          <w:rFonts w:ascii="Arial" w:eastAsia="Times New Roman" w:hAnsi="Arial" w:cs="Arial"/>
          <w:color w:val="auto"/>
          <w:lang w:eastAsia="en-GB"/>
        </w:rPr>
        <w:t>their concerns and in doing so, have considered the following pieces of evidence to support its decision:</w:t>
      </w:r>
    </w:p>
    <w:p w14:paraId="2C6B8683" w14:textId="449076FE" w:rsidR="00BF0C19" w:rsidRDefault="001D2EEA" w:rsidP="00BF0C19">
      <w:pPr>
        <w:pStyle w:val="ListParagraph"/>
        <w:numPr>
          <w:ilvl w:val="0"/>
          <w:numId w:val="12"/>
        </w:numPr>
        <w:spacing w:line="280" w:lineRule="exact"/>
        <w:jc w:val="both"/>
        <w:rPr>
          <w:rFonts w:ascii="Arial" w:hAnsi="Arial" w:cs="Arial"/>
          <w:color w:val="auto"/>
        </w:rPr>
      </w:pPr>
      <w:r w:rsidRPr="00C6140F">
        <w:rPr>
          <w:rFonts w:ascii="Arial" w:hAnsi="Arial" w:cs="Arial"/>
          <w:color w:val="auto"/>
        </w:rPr>
        <w:t xml:space="preserve">The </w:t>
      </w:r>
      <w:r w:rsidR="00710951">
        <w:rPr>
          <w:rFonts w:ascii="Arial" w:hAnsi="Arial" w:cs="Arial"/>
          <w:color w:val="auto"/>
        </w:rPr>
        <w:t xml:space="preserve">Cost </w:t>
      </w:r>
      <w:r w:rsidRPr="00C6140F">
        <w:rPr>
          <w:rFonts w:ascii="Arial" w:hAnsi="Arial" w:cs="Arial"/>
          <w:color w:val="auto"/>
        </w:rPr>
        <w:t xml:space="preserve">of Care reports describe </w:t>
      </w:r>
      <w:r w:rsidR="00B31F72">
        <w:rPr>
          <w:rFonts w:ascii="Arial" w:hAnsi="Arial" w:cs="Arial"/>
          <w:color w:val="auto"/>
        </w:rPr>
        <w:t>material</w:t>
      </w:r>
      <w:r w:rsidRPr="00C6140F">
        <w:rPr>
          <w:rFonts w:ascii="Arial" w:hAnsi="Arial" w:cs="Arial"/>
          <w:color w:val="auto"/>
        </w:rPr>
        <w:t xml:space="preserve"> flaws in the toolkit and the data received</w:t>
      </w:r>
      <w:r w:rsidR="00BF0C19">
        <w:rPr>
          <w:rFonts w:ascii="Arial" w:hAnsi="Arial" w:cs="Arial"/>
          <w:color w:val="auto"/>
        </w:rPr>
        <w:t>.</w:t>
      </w:r>
    </w:p>
    <w:p w14:paraId="2646DCA0" w14:textId="57FD5325" w:rsidR="00C6140F" w:rsidRPr="00BF0C19" w:rsidRDefault="001D2EEA" w:rsidP="00BF0C19">
      <w:pPr>
        <w:pStyle w:val="ListParagraph"/>
        <w:numPr>
          <w:ilvl w:val="0"/>
          <w:numId w:val="12"/>
        </w:numPr>
        <w:spacing w:line="280" w:lineRule="exact"/>
        <w:jc w:val="both"/>
        <w:rPr>
          <w:rFonts w:ascii="Arial" w:hAnsi="Arial" w:cs="Arial"/>
          <w:color w:val="auto"/>
        </w:rPr>
      </w:pPr>
      <w:r w:rsidRPr="00BF0C19">
        <w:rPr>
          <w:rFonts w:ascii="Arial" w:hAnsi="Arial" w:cs="Arial"/>
          <w:color w:val="auto"/>
        </w:rPr>
        <w:t>The return rate of 50% of care homes does not provide adequate confidence that the medians derived are reasonable and reflective of the whole market</w:t>
      </w:r>
      <w:r w:rsidR="00BF0C19" w:rsidRPr="00BF0C19">
        <w:rPr>
          <w:rFonts w:ascii="Arial" w:hAnsi="Arial" w:cs="Arial"/>
          <w:color w:val="auto"/>
        </w:rPr>
        <w:t>.</w:t>
      </w:r>
    </w:p>
    <w:p w14:paraId="7F4B7C77" w14:textId="406901E4" w:rsidR="00C6140F" w:rsidRDefault="001D2EEA" w:rsidP="00BF0C19">
      <w:pPr>
        <w:pStyle w:val="ListParagraph"/>
        <w:numPr>
          <w:ilvl w:val="0"/>
          <w:numId w:val="12"/>
        </w:numPr>
        <w:spacing w:line="280" w:lineRule="exact"/>
        <w:jc w:val="both"/>
        <w:rPr>
          <w:rFonts w:ascii="Arial" w:hAnsi="Arial" w:cs="Arial"/>
          <w:color w:val="auto"/>
        </w:rPr>
      </w:pPr>
      <w:r w:rsidRPr="00C6140F">
        <w:rPr>
          <w:rFonts w:ascii="Arial" w:hAnsi="Arial" w:cs="Arial"/>
          <w:color w:val="auto"/>
        </w:rPr>
        <w:t>Smaller providers are under-represented in the exercise</w:t>
      </w:r>
      <w:r w:rsidR="00BF0C19">
        <w:rPr>
          <w:rFonts w:ascii="Arial" w:hAnsi="Arial" w:cs="Arial"/>
          <w:color w:val="auto"/>
        </w:rPr>
        <w:t>.</w:t>
      </w:r>
    </w:p>
    <w:p w14:paraId="05B0CBD9" w14:textId="3E2C4C93" w:rsidR="00BF0C19" w:rsidRDefault="00D17D29" w:rsidP="00BF0C19">
      <w:pPr>
        <w:pStyle w:val="ListParagraph"/>
        <w:numPr>
          <w:ilvl w:val="0"/>
          <w:numId w:val="12"/>
        </w:numPr>
        <w:spacing w:line="280" w:lineRule="exact"/>
        <w:jc w:val="both"/>
        <w:rPr>
          <w:rFonts w:ascii="Arial" w:hAnsi="Arial" w:cs="Arial"/>
          <w:color w:val="auto"/>
        </w:rPr>
      </w:pPr>
      <w:r w:rsidRPr="00D17D29">
        <w:rPr>
          <w:rFonts w:ascii="Arial" w:hAnsi="Arial" w:cs="Arial"/>
          <w:color w:val="auto"/>
        </w:rPr>
        <w:t xml:space="preserve">One provider with multiple homes accounted for 29% of </w:t>
      </w:r>
      <w:r w:rsidRPr="007F719F">
        <w:rPr>
          <w:rFonts w:ascii="Arial" w:hAnsi="Arial" w:cs="Arial"/>
          <w:color w:val="auto"/>
        </w:rPr>
        <w:t xml:space="preserve">validated </w:t>
      </w:r>
      <w:r w:rsidR="007F719F">
        <w:rPr>
          <w:rFonts w:ascii="Arial" w:hAnsi="Arial" w:cs="Arial"/>
          <w:color w:val="auto"/>
        </w:rPr>
        <w:t>responses</w:t>
      </w:r>
      <w:r w:rsidR="007F719F" w:rsidRPr="007F719F">
        <w:rPr>
          <w:rFonts w:ascii="Arial" w:hAnsi="Arial" w:cs="Arial"/>
          <w:color w:val="auto"/>
        </w:rPr>
        <w:t xml:space="preserve"> </w:t>
      </w:r>
      <w:r w:rsidR="00A0533C">
        <w:rPr>
          <w:rFonts w:ascii="Arial" w:hAnsi="Arial" w:cs="Arial"/>
          <w:color w:val="auto"/>
        </w:rPr>
        <w:t>or</w:t>
      </w:r>
      <w:r w:rsidR="00BF0C19" w:rsidRPr="00BF0C19">
        <w:rPr>
          <w:rFonts w:ascii="Arial" w:hAnsi="Arial" w:cs="Arial"/>
          <w:color w:val="auto"/>
        </w:rPr>
        <w:t xml:space="preserve"> sixteen care homes out of fifty-six submissions. </w:t>
      </w:r>
    </w:p>
    <w:p w14:paraId="4CCEF64F" w14:textId="2D7D30AF" w:rsidR="00C6140F" w:rsidRDefault="001D2EEA" w:rsidP="00BF0C19">
      <w:pPr>
        <w:pStyle w:val="ListParagraph"/>
        <w:numPr>
          <w:ilvl w:val="0"/>
          <w:numId w:val="12"/>
        </w:numPr>
        <w:spacing w:line="280" w:lineRule="exact"/>
        <w:jc w:val="both"/>
        <w:rPr>
          <w:rFonts w:ascii="Arial" w:hAnsi="Arial" w:cs="Arial"/>
          <w:color w:val="auto"/>
        </w:rPr>
      </w:pPr>
      <w:bookmarkStart w:id="0" w:name="_Hlk116396656"/>
      <w:r w:rsidRPr="00C6140F">
        <w:rPr>
          <w:rFonts w:ascii="Arial" w:hAnsi="Arial" w:cs="Arial"/>
          <w:color w:val="auto"/>
        </w:rPr>
        <w:t xml:space="preserve">There </w:t>
      </w:r>
      <w:r w:rsidR="00E13951">
        <w:rPr>
          <w:rFonts w:ascii="Arial" w:hAnsi="Arial" w:cs="Arial"/>
          <w:color w:val="auto"/>
        </w:rPr>
        <w:t xml:space="preserve"> were no validated submissions from </w:t>
      </w:r>
      <w:r w:rsidR="00DB1346">
        <w:rPr>
          <w:rFonts w:ascii="Arial" w:hAnsi="Arial" w:cs="Arial"/>
          <w:color w:val="auto"/>
        </w:rPr>
        <w:t xml:space="preserve">care </w:t>
      </w:r>
      <w:r w:rsidRPr="00C6140F">
        <w:rPr>
          <w:rFonts w:ascii="Arial" w:hAnsi="Arial" w:cs="Arial"/>
          <w:color w:val="auto"/>
        </w:rPr>
        <w:t>homes located in South Oxfordshire</w:t>
      </w:r>
      <w:bookmarkEnd w:id="0"/>
      <w:r w:rsidR="00BF0C19">
        <w:rPr>
          <w:rFonts w:ascii="Arial" w:hAnsi="Arial" w:cs="Arial"/>
          <w:color w:val="auto"/>
        </w:rPr>
        <w:t>.</w:t>
      </w:r>
    </w:p>
    <w:p w14:paraId="581A0FCB" w14:textId="7C2A5D1B" w:rsidR="00C6140F" w:rsidRDefault="001D2EEA" w:rsidP="00BF0C19">
      <w:pPr>
        <w:pStyle w:val="ListParagraph"/>
        <w:numPr>
          <w:ilvl w:val="0"/>
          <w:numId w:val="12"/>
        </w:numPr>
        <w:spacing w:line="280" w:lineRule="exact"/>
        <w:jc w:val="both"/>
        <w:rPr>
          <w:rFonts w:ascii="Arial" w:hAnsi="Arial" w:cs="Arial"/>
          <w:color w:val="auto"/>
        </w:rPr>
      </w:pPr>
      <w:r w:rsidRPr="00543235">
        <w:rPr>
          <w:rFonts w:ascii="Arial" w:hAnsi="Arial" w:cs="Arial"/>
          <w:color w:val="auto"/>
        </w:rPr>
        <w:t>The confidence intervals</w:t>
      </w:r>
      <w:r w:rsidRPr="00C6140F">
        <w:rPr>
          <w:rFonts w:ascii="Arial" w:hAnsi="Arial" w:cs="Arial"/>
          <w:color w:val="auto"/>
        </w:rPr>
        <w:t xml:space="preserve"> illustrated in Figure 1</w:t>
      </w:r>
      <w:r w:rsidR="0052200A" w:rsidRPr="00C6140F">
        <w:rPr>
          <w:rFonts w:ascii="Arial" w:hAnsi="Arial" w:cs="Arial"/>
          <w:color w:val="auto"/>
        </w:rPr>
        <w:t>,</w:t>
      </w:r>
      <w:r w:rsidRPr="00C6140F">
        <w:rPr>
          <w:rFonts w:ascii="Arial" w:hAnsi="Arial" w:cs="Arial"/>
          <w:color w:val="auto"/>
        </w:rPr>
        <w:t xml:space="preserve"> indicate the cost of care median is higher than the council’s current median of fees paid, however the range is wide on each type of placement</w:t>
      </w:r>
      <w:r w:rsidR="0052200A" w:rsidRPr="00C6140F">
        <w:rPr>
          <w:rFonts w:ascii="Arial" w:hAnsi="Arial" w:cs="Arial"/>
          <w:color w:val="auto"/>
        </w:rPr>
        <w:t>.</w:t>
      </w:r>
      <w:r w:rsidR="00A0533C" w:rsidRPr="00A0533C">
        <w:rPr>
          <w:rFonts w:ascii="Arial" w:eastAsia="+mn-ea" w:hAnsi="Arial" w:cs="Arial"/>
          <w:color w:val="000000"/>
          <w:kern w:val="24"/>
        </w:rPr>
        <w:t xml:space="preserve"> </w:t>
      </w:r>
      <w:r w:rsidR="00A0533C">
        <w:rPr>
          <w:rFonts w:ascii="Arial" w:eastAsia="+mn-ea" w:hAnsi="Arial" w:cs="Arial"/>
          <w:color w:val="000000"/>
          <w:kern w:val="24"/>
        </w:rPr>
        <w:t>Due to the wide variation in most cost lines among the sample of submissions, there are confidence limits related to the medians produced. The detail is set out in paragraph  2.11.3</w:t>
      </w:r>
    </w:p>
    <w:p w14:paraId="33222589" w14:textId="652E1BF8" w:rsidR="001D2EEA" w:rsidRDefault="001D2EEA" w:rsidP="00BF0C19">
      <w:pPr>
        <w:pStyle w:val="ListParagraph"/>
        <w:numPr>
          <w:ilvl w:val="0"/>
          <w:numId w:val="12"/>
        </w:numPr>
        <w:spacing w:line="280" w:lineRule="exact"/>
        <w:jc w:val="both"/>
        <w:rPr>
          <w:rFonts w:ascii="Arial" w:hAnsi="Arial" w:cs="Arial"/>
          <w:color w:val="auto"/>
        </w:rPr>
      </w:pPr>
      <w:r w:rsidRPr="00C6140F">
        <w:rPr>
          <w:rFonts w:ascii="Arial" w:hAnsi="Arial" w:cs="Arial"/>
          <w:color w:val="auto"/>
        </w:rPr>
        <w:t xml:space="preserve">The council is currently paying higher rates on new </w:t>
      </w:r>
      <w:r w:rsidR="00E13951">
        <w:rPr>
          <w:rFonts w:ascii="Arial" w:hAnsi="Arial" w:cs="Arial"/>
          <w:color w:val="auto"/>
        </w:rPr>
        <w:t xml:space="preserve">nursing home </w:t>
      </w:r>
      <w:r w:rsidRPr="00C6140F">
        <w:rPr>
          <w:rFonts w:ascii="Arial" w:hAnsi="Arial" w:cs="Arial"/>
          <w:color w:val="auto"/>
        </w:rPr>
        <w:t>placements than suggested by the council median, which is skewed by the number of historic placements at lower rates</w:t>
      </w:r>
      <w:r w:rsidR="0052200A" w:rsidRPr="00C6140F">
        <w:rPr>
          <w:rFonts w:ascii="Arial" w:hAnsi="Arial" w:cs="Arial"/>
          <w:color w:val="auto"/>
        </w:rPr>
        <w:t>.</w:t>
      </w:r>
    </w:p>
    <w:p w14:paraId="62DE144B" w14:textId="61F89FD0" w:rsidR="008E21F0" w:rsidRPr="00DB1346" w:rsidRDefault="005D259C" w:rsidP="00DB1346">
      <w:pPr>
        <w:pStyle w:val="ListParagraph"/>
        <w:numPr>
          <w:ilvl w:val="0"/>
          <w:numId w:val="12"/>
        </w:numPr>
        <w:spacing w:line="280" w:lineRule="exact"/>
        <w:jc w:val="both"/>
        <w:rPr>
          <w:rFonts w:ascii="Arial" w:hAnsi="Arial" w:cs="Arial"/>
          <w:color w:val="auto"/>
        </w:rPr>
      </w:pPr>
      <w:r w:rsidRPr="005D259C">
        <w:rPr>
          <w:rFonts w:ascii="Arial" w:hAnsi="Arial" w:cs="Arial"/>
          <w:color w:val="auto"/>
        </w:rPr>
        <w:t xml:space="preserve">The council has noted the median nursing hours per resident </w:t>
      </w:r>
      <w:r w:rsidR="00B01753">
        <w:rPr>
          <w:rFonts w:ascii="Arial" w:hAnsi="Arial" w:cs="Arial"/>
          <w:color w:val="auto"/>
        </w:rPr>
        <w:t>are</w:t>
      </w:r>
      <w:r w:rsidRPr="005D259C">
        <w:rPr>
          <w:rFonts w:ascii="Arial" w:hAnsi="Arial" w:cs="Arial"/>
          <w:color w:val="auto"/>
        </w:rPr>
        <w:t xml:space="preserve"> higher than those in other areas, which may reflect differences in delivery in Oxfordshire </w:t>
      </w:r>
      <w:r w:rsidR="00FD6C66">
        <w:rPr>
          <w:rFonts w:ascii="Arial" w:hAnsi="Arial" w:cs="Arial"/>
          <w:color w:val="auto"/>
        </w:rPr>
        <w:t>and</w:t>
      </w:r>
      <w:r w:rsidRPr="005D259C">
        <w:rPr>
          <w:rFonts w:ascii="Arial" w:hAnsi="Arial" w:cs="Arial"/>
          <w:color w:val="auto"/>
        </w:rPr>
        <w:t xml:space="preserve"> would require further investigation</w:t>
      </w:r>
      <w:r>
        <w:rPr>
          <w:rFonts w:ascii="Arial" w:hAnsi="Arial" w:cs="Arial"/>
          <w:color w:val="auto"/>
        </w:rPr>
        <w:t>.</w:t>
      </w:r>
    </w:p>
    <w:p w14:paraId="0651F533" w14:textId="77777777" w:rsidR="00DB1346" w:rsidRDefault="00DB1346" w:rsidP="00DB1346">
      <w:pPr>
        <w:suppressAutoHyphens/>
        <w:spacing w:after="0" w:line="280" w:lineRule="exact"/>
        <w:jc w:val="both"/>
        <w:rPr>
          <w:rFonts w:ascii="Arial" w:eastAsia="Times New Roman" w:hAnsi="Arial" w:cs="Arial"/>
          <w:b/>
          <w:bCs/>
          <w:color w:val="auto"/>
          <w:lang w:eastAsia="en-GB"/>
        </w:rPr>
      </w:pPr>
    </w:p>
    <w:p w14:paraId="735200F3" w14:textId="64E02756" w:rsidR="008E21F0" w:rsidRPr="008E21F0" w:rsidRDefault="008E21F0" w:rsidP="002A08A5">
      <w:pPr>
        <w:suppressAutoHyphens/>
        <w:spacing w:after="240" w:line="280" w:lineRule="exact"/>
        <w:jc w:val="both"/>
        <w:rPr>
          <w:rFonts w:ascii="Arial" w:eastAsia="Times New Roman" w:hAnsi="Arial" w:cs="Arial"/>
          <w:b/>
          <w:bCs/>
          <w:color w:val="auto"/>
          <w:lang w:eastAsia="en-GB"/>
        </w:rPr>
      </w:pPr>
      <w:r w:rsidRPr="008E21F0">
        <w:rPr>
          <w:rFonts w:ascii="Arial" w:eastAsia="Times New Roman" w:hAnsi="Arial" w:cs="Arial"/>
          <w:b/>
          <w:bCs/>
          <w:color w:val="auto"/>
          <w:lang w:eastAsia="en-GB"/>
        </w:rPr>
        <w:t>Recommendations</w:t>
      </w:r>
    </w:p>
    <w:p w14:paraId="4903D229" w14:textId="14BB6201" w:rsidR="008E21F0" w:rsidRDefault="008E21F0" w:rsidP="00610FD0">
      <w:pPr>
        <w:suppressAutoHyphens/>
        <w:spacing w:after="240" w:line="280" w:lineRule="exact"/>
        <w:jc w:val="both"/>
        <w:rPr>
          <w:rFonts w:ascii="Arial" w:eastAsia="Times New Roman" w:hAnsi="Arial" w:cs="Arial"/>
          <w:color w:val="auto"/>
          <w:lang w:eastAsia="en-GB"/>
        </w:rPr>
      </w:pPr>
      <w:r w:rsidRPr="008E21F0">
        <w:rPr>
          <w:rFonts w:ascii="Arial" w:eastAsia="Times New Roman" w:hAnsi="Arial" w:cs="Arial"/>
          <w:color w:val="auto"/>
          <w:lang w:eastAsia="en-GB"/>
        </w:rPr>
        <w:t>It is</w:t>
      </w:r>
      <w:r>
        <w:rPr>
          <w:rFonts w:ascii="Arial" w:eastAsia="Times New Roman" w:hAnsi="Arial" w:cs="Arial"/>
          <w:color w:val="auto"/>
          <w:lang w:eastAsia="en-GB"/>
        </w:rPr>
        <w:t xml:space="preserve"> </w:t>
      </w:r>
      <w:r w:rsidRPr="008E21F0">
        <w:rPr>
          <w:rFonts w:ascii="Arial" w:eastAsia="Times New Roman" w:hAnsi="Arial" w:cs="Arial"/>
          <w:color w:val="auto"/>
          <w:lang w:eastAsia="en-GB"/>
        </w:rPr>
        <w:t xml:space="preserve">the council’s intention to </w:t>
      </w:r>
      <w:r w:rsidR="009B71B2">
        <w:rPr>
          <w:rFonts w:ascii="Arial" w:eastAsia="Times New Roman" w:hAnsi="Arial" w:cs="Arial"/>
          <w:color w:val="auto"/>
          <w:lang w:eastAsia="en-GB"/>
        </w:rPr>
        <w:t>model on the basis of</w:t>
      </w:r>
      <w:r w:rsidRPr="008E21F0">
        <w:rPr>
          <w:rFonts w:ascii="Arial" w:eastAsia="Times New Roman" w:hAnsi="Arial" w:cs="Arial"/>
          <w:color w:val="auto"/>
          <w:lang w:eastAsia="en-GB"/>
        </w:rPr>
        <w:t xml:space="preserve"> 90% occupancy</w:t>
      </w:r>
      <w:r w:rsidR="009B71B2">
        <w:rPr>
          <w:rFonts w:ascii="Arial" w:eastAsia="Times New Roman" w:hAnsi="Arial" w:cs="Arial"/>
          <w:color w:val="auto"/>
          <w:lang w:eastAsia="en-GB"/>
        </w:rPr>
        <w:t>. T</w:t>
      </w:r>
      <w:r w:rsidRPr="008E21F0">
        <w:rPr>
          <w:rFonts w:ascii="Arial" w:eastAsia="Times New Roman" w:hAnsi="Arial" w:cs="Arial"/>
          <w:color w:val="auto"/>
          <w:lang w:eastAsia="en-GB"/>
        </w:rPr>
        <w:t>he council will engage with providers on the method of adjustment to take account of the fixed and variable costs. There is apparent over supply of care home beds across the county which the council is seeking to address in coming years. Achieving higher occupancy in homes is part of this approach.</w:t>
      </w:r>
    </w:p>
    <w:p w14:paraId="0108C79F" w14:textId="6435143B" w:rsidR="003B127C" w:rsidRDefault="0033092D" w:rsidP="00610FD0">
      <w:pPr>
        <w:suppressAutoHyphens/>
        <w:spacing w:after="240" w:line="280" w:lineRule="exact"/>
        <w:jc w:val="both"/>
        <w:rPr>
          <w:rFonts w:ascii="Arial" w:eastAsia="Times New Roman" w:hAnsi="Arial" w:cs="Arial"/>
          <w:color w:val="auto"/>
          <w:lang w:eastAsia="en-GB"/>
        </w:rPr>
      </w:pPr>
      <w:r w:rsidRPr="0033092D">
        <w:rPr>
          <w:rFonts w:ascii="Arial" w:eastAsia="Times New Roman" w:hAnsi="Arial" w:cs="Arial"/>
          <w:color w:val="auto"/>
          <w:lang w:eastAsia="en-GB"/>
        </w:rPr>
        <w:t xml:space="preserve">On the balance of available evidence, </w:t>
      </w:r>
      <w:bookmarkStart w:id="1" w:name="_Hlk116398504"/>
      <w:r w:rsidRPr="0033092D">
        <w:rPr>
          <w:rFonts w:ascii="Arial" w:eastAsia="Times New Roman" w:hAnsi="Arial" w:cs="Arial"/>
          <w:color w:val="auto"/>
          <w:lang w:eastAsia="en-GB"/>
        </w:rPr>
        <w:t xml:space="preserve">Oxfordshire has </w:t>
      </w:r>
      <w:r w:rsidR="00010DB4">
        <w:rPr>
          <w:rFonts w:ascii="Arial" w:eastAsia="Times New Roman" w:hAnsi="Arial" w:cs="Arial"/>
          <w:color w:val="auto"/>
          <w:lang w:eastAsia="en-GB"/>
        </w:rPr>
        <w:t>determined</w:t>
      </w:r>
      <w:r w:rsidRPr="0033092D">
        <w:rPr>
          <w:rFonts w:ascii="Arial" w:eastAsia="Times New Roman" w:hAnsi="Arial" w:cs="Arial"/>
          <w:color w:val="auto"/>
          <w:lang w:eastAsia="en-GB"/>
        </w:rPr>
        <w:t xml:space="preserve"> the return on operations at</w:t>
      </w:r>
      <w:r w:rsidR="00010DB4">
        <w:rPr>
          <w:rFonts w:ascii="Arial" w:eastAsia="Times New Roman" w:hAnsi="Arial" w:cs="Arial"/>
          <w:color w:val="auto"/>
          <w:lang w:eastAsia="en-GB"/>
        </w:rPr>
        <w:t xml:space="preserve"> a rate of</w:t>
      </w:r>
      <w:r w:rsidRPr="0033092D">
        <w:rPr>
          <w:rFonts w:ascii="Arial" w:eastAsia="Times New Roman" w:hAnsi="Arial" w:cs="Arial"/>
          <w:color w:val="auto"/>
          <w:lang w:eastAsia="en-GB"/>
        </w:rPr>
        <w:t xml:space="preserve"> 5%, which is the same as the median outcome from the Cost of Care exercise.</w:t>
      </w:r>
      <w:bookmarkEnd w:id="1"/>
      <w:r>
        <w:rPr>
          <w:rFonts w:ascii="Arial" w:eastAsia="Times New Roman" w:hAnsi="Arial" w:cs="Arial"/>
          <w:color w:val="auto"/>
          <w:lang w:eastAsia="en-GB"/>
        </w:rPr>
        <w:t xml:space="preserve"> </w:t>
      </w:r>
      <w:r w:rsidR="00010DB4">
        <w:rPr>
          <w:rFonts w:ascii="Arial" w:eastAsia="Times New Roman" w:hAnsi="Arial" w:cs="Arial"/>
          <w:color w:val="auto"/>
          <w:lang w:eastAsia="en-GB"/>
        </w:rPr>
        <w:t>This</w:t>
      </w:r>
      <w:r w:rsidR="008E21F0" w:rsidRPr="00512A55">
        <w:rPr>
          <w:rFonts w:ascii="Arial" w:eastAsia="Times New Roman" w:hAnsi="Arial" w:cs="Arial"/>
          <w:color w:val="auto"/>
          <w:lang w:eastAsia="en-GB"/>
        </w:rPr>
        <w:t xml:space="preserve"> differs </w:t>
      </w:r>
      <w:r w:rsidR="008E21F0" w:rsidRPr="00512A55">
        <w:rPr>
          <w:rFonts w:ascii="Arial" w:eastAsia="Times New Roman" w:hAnsi="Arial" w:cs="Arial"/>
          <w:color w:val="auto"/>
          <w:lang w:eastAsia="en-GB"/>
        </w:rPr>
        <w:lastRenderedPageBreak/>
        <w:t xml:space="preserve">from the LaingBuisson </w:t>
      </w:r>
      <w:r w:rsidR="00997332">
        <w:rPr>
          <w:rFonts w:ascii="Arial" w:eastAsia="Times New Roman" w:hAnsi="Arial" w:cs="Arial"/>
          <w:color w:val="auto"/>
          <w:lang w:eastAsia="en-GB"/>
        </w:rPr>
        <w:t>assumption</w:t>
      </w:r>
      <w:r w:rsidR="00997332" w:rsidRPr="00512A55">
        <w:rPr>
          <w:rFonts w:ascii="Arial" w:eastAsia="Times New Roman" w:hAnsi="Arial" w:cs="Arial"/>
          <w:color w:val="auto"/>
          <w:lang w:eastAsia="en-GB"/>
        </w:rPr>
        <w:t xml:space="preserve"> </w:t>
      </w:r>
      <w:r w:rsidR="008E21F0" w:rsidRPr="00512A55">
        <w:rPr>
          <w:rFonts w:ascii="Arial" w:eastAsia="Times New Roman" w:hAnsi="Arial" w:cs="Arial"/>
          <w:color w:val="auto"/>
          <w:lang w:eastAsia="en-GB"/>
        </w:rPr>
        <w:t>of 10% operating return. The rationale is set out in Appendix 1</w:t>
      </w:r>
      <w:r w:rsidR="00E741B1">
        <w:rPr>
          <w:rFonts w:ascii="Arial" w:eastAsia="Times New Roman" w:hAnsi="Arial" w:cs="Arial"/>
          <w:color w:val="auto"/>
          <w:lang w:eastAsia="en-GB"/>
        </w:rPr>
        <w:t xml:space="preserve"> of this care home report</w:t>
      </w:r>
      <w:r w:rsidR="008E21F0" w:rsidRPr="00512A55">
        <w:rPr>
          <w:rFonts w:ascii="Arial" w:eastAsia="Times New Roman" w:hAnsi="Arial" w:cs="Arial"/>
          <w:color w:val="auto"/>
          <w:lang w:eastAsia="en-GB"/>
        </w:rPr>
        <w:t>.</w:t>
      </w:r>
      <w:r w:rsidR="009B71B2" w:rsidRPr="00512A55">
        <w:rPr>
          <w:rFonts w:ascii="Arial" w:eastAsia="Times New Roman" w:hAnsi="Arial" w:cs="Arial"/>
          <w:color w:val="auto"/>
          <w:lang w:eastAsia="en-GB"/>
        </w:rPr>
        <w:t xml:space="preserve"> </w:t>
      </w:r>
      <w:bookmarkStart w:id="2" w:name="_Toc114240143"/>
    </w:p>
    <w:p w14:paraId="27703953" w14:textId="745048DB" w:rsidR="008E21F0" w:rsidRPr="003B127C" w:rsidRDefault="00BF0C19" w:rsidP="008E21F0">
      <w:pPr>
        <w:suppressAutoHyphens/>
        <w:spacing w:after="240" w:line="280" w:lineRule="exact"/>
        <w:jc w:val="both"/>
        <w:rPr>
          <w:rFonts w:ascii="Arial" w:eastAsia="Times New Roman" w:hAnsi="Arial" w:cs="Arial"/>
          <w:color w:val="auto"/>
          <w:lang w:eastAsia="en-GB"/>
        </w:rPr>
      </w:pPr>
      <w:r>
        <w:rPr>
          <w:rFonts w:ascii="Arial" w:eastAsia="Times New Roman" w:hAnsi="Arial" w:cs="Arial"/>
          <w:color w:val="auto"/>
          <w:lang w:eastAsia="en-GB"/>
        </w:rPr>
        <w:t xml:space="preserve">When the revised </w:t>
      </w:r>
      <w:r w:rsidR="00811DB5">
        <w:rPr>
          <w:rFonts w:ascii="Arial" w:eastAsia="Times New Roman" w:hAnsi="Arial" w:cs="Arial"/>
          <w:color w:val="auto"/>
          <w:lang w:eastAsia="en-GB"/>
        </w:rPr>
        <w:t xml:space="preserve">5% on return on operations is applied this therefore leads the </w:t>
      </w:r>
      <w:r w:rsidR="003B127C">
        <w:rPr>
          <w:rFonts w:ascii="Arial" w:eastAsia="Times New Roman" w:hAnsi="Arial" w:cs="Arial"/>
          <w:color w:val="auto"/>
          <w:lang w:eastAsia="en-GB"/>
        </w:rPr>
        <w:t>c</w:t>
      </w:r>
      <w:r w:rsidR="00811DB5">
        <w:rPr>
          <w:rFonts w:ascii="Arial" w:eastAsia="Times New Roman" w:hAnsi="Arial" w:cs="Arial"/>
          <w:color w:val="auto"/>
          <w:lang w:eastAsia="en-GB"/>
        </w:rPr>
        <w:t xml:space="preserve">ouncil to recommend the </w:t>
      </w:r>
      <w:r w:rsidR="00811DB5" w:rsidRPr="00811DB5">
        <w:rPr>
          <w:rFonts w:ascii="Arial" w:eastAsia="Times New Roman" w:hAnsi="Arial" w:cs="Arial"/>
          <w:b/>
          <w:bCs/>
          <w:color w:val="auto"/>
          <w:lang w:eastAsia="en-GB"/>
        </w:rPr>
        <w:t>cost of care figures in table</w:t>
      </w:r>
      <w:r w:rsidR="008E21F0">
        <w:rPr>
          <w:rFonts w:ascii="Arial" w:eastAsia="Times New Roman" w:hAnsi="Arial" w:cs="Arial"/>
          <w:b/>
          <w:bCs/>
          <w:color w:val="auto"/>
          <w:lang w:eastAsia="en-GB"/>
        </w:rPr>
        <w:t xml:space="preserve"> </w:t>
      </w:r>
      <w:r w:rsidR="00811DB5" w:rsidRPr="00811DB5">
        <w:rPr>
          <w:rFonts w:ascii="Arial" w:eastAsia="Times New Roman" w:hAnsi="Arial" w:cs="Arial"/>
          <w:b/>
          <w:bCs/>
          <w:color w:val="auto"/>
          <w:lang w:eastAsia="en-GB"/>
        </w:rPr>
        <w:t>1</w:t>
      </w:r>
      <w:r w:rsidR="00287D1C">
        <w:rPr>
          <w:rFonts w:ascii="Arial" w:eastAsia="Times New Roman" w:hAnsi="Arial" w:cs="Arial"/>
          <w:b/>
          <w:bCs/>
          <w:color w:val="auto"/>
          <w:lang w:eastAsia="en-GB"/>
        </w:rPr>
        <w:t xml:space="preserve"> </w:t>
      </w:r>
      <w:r w:rsidR="00811DB5">
        <w:rPr>
          <w:rFonts w:ascii="Arial" w:eastAsia="Times New Roman" w:hAnsi="Arial" w:cs="Arial"/>
          <w:b/>
          <w:bCs/>
          <w:color w:val="auto"/>
          <w:lang w:eastAsia="en-GB"/>
        </w:rPr>
        <w:t>of this report.</w:t>
      </w:r>
    </w:p>
    <w:p w14:paraId="1C4A20F1" w14:textId="33CACBD4" w:rsidR="0037052F" w:rsidRDefault="00995855" w:rsidP="00EC7E75">
      <w:pPr>
        <w:pStyle w:val="ListParagraph"/>
        <w:numPr>
          <w:ilvl w:val="1"/>
          <w:numId w:val="10"/>
        </w:numPr>
        <w:tabs>
          <w:tab w:val="num" w:pos="0"/>
          <w:tab w:val="right" w:pos="9071"/>
        </w:tabs>
        <w:spacing w:line="280" w:lineRule="exact"/>
        <w:jc w:val="both"/>
        <w:outlineLvl w:val="1"/>
        <w:rPr>
          <w:rFonts w:ascii="Arial" w:hAnsi="Arial" w:cs="Arial"/>
          <w:color w:val="auto"/>
        </w:rPr>
      </w:pPr>
      <w:r w:rsidRPr="0037052F">
        <w:rPr>
          <w:rFonts w:ascii="Arial" w:hAnsi="Arial" w:cs="Arial"/>
          <w:color w:val="auto"/>
        </w:rPr>
        <w:t>Headline results</w:t>
      </w:r>
      <w:bookmarkEnd w:id="2"/>
    </w:p>
    <w:p w14:paraId="604C0C47" w14:textId="77777777" w:rsidR="00C120A4" w:rsidRPr="0037052F" w:rsidRDefault="00C120A4" w:rsidP="00C120A4">
      <w:pPr>
        <w:pStyle w:val="ListParagraph"/>
        <w:tabs>
          <w:tab w:val="right" w:pos="9071"/>
        </w:tabs>
        <w:spacing w:line="280" w:lineRule="exact"/>
        <w:ind w:left="369"/>
        <w:jc w:val="both"/>
        <w:outlineLvl w:val="1"/>
        <w:rPr>
          <w:rFonts w:ascii="Arial" w:hAnsi="Arial" w:cs="Arial"/>
          <w:color w:val="auto"/>
        </w:rPr>
      </w:pPr>
    </w:p>
    <w:p w14:paraId="22B0A846" w14:textId="17DD4166" w:rsidR="00995855" w:rsidRPr="0084182A" w:rsidRDefault="00995855" w:rsidP="006C206C">
      <w:pPr>
        <w:tabs>
          <w:tab w:val="right" w:pos="9071"/>
        </w:tabs>
        <w:spacing w:line="280" w:lineRule="exact"/>
        <w:jc w:val="both"/>
        <w:outlineLvl w:val="1"/>
        <w:rPr>
          <w:rFonts w:ascii="Arial" w:hAnsi="Arial" w:cs="Arial"/>
          <w:color w:val="auto"/>
        </w:rPr>
      </w:pPr>
      <w:r w:rsidRPr="00FA2DDA">
        <w:rPr>
          <w:rFonts w:ascii="Arial" w:hAnsi="Arial" w:cs="Arial"/>
          <w:color w:val="auto"/>
        </w:rPr>
        <w:t xml:space="preserve">A summary of median total costs derived from the </w:t>
      </w:r>
      <w:r w:rsidR="0029380F">
        <w:rPr>
          <w:rFonts w:ascii="Arial" w:hAnsi="Arial" w:cs="Arial"/>
          <w:color w:val="auto"/>
        </w:rPr>
        <w:t>CoC</w:t>
      </w:r>
      <w:r w:rsidRPr="00FA2DDA">
        <w:rPr>
          <w:rFonts w:ascii="Arial" w:hAnsi="Arial" w:cs="Arial"/>
          <w:color w:val="auto"/>
        </w:rPr>
        <w:t xml:space="preserve"> exercise is presented in Table 1. A more granular analysis of the cost of care results, including all of the cost lines prescribed by DHSC for councils to qualify for grant funding, is set out in Table 4</w:t>
      </w:r>
      <w:r w:rsidRPr="00507585">
        <w:rPr>
          <w:vertAlign w:val="superscript"/>
        </w:rPr>
        <w:footnoteReference w:id="2"/>
      </w:r>
      <w:r w:rsidRPr="00FA2DDA">
        <w:rPr>
          <w:rFonts w:ascii="Arial" w:hAnsi="Arial" w:cs="Arial"/>
          <w:color w:val="auto"/>
        </w:rPr>
        <w:t>.</w:t>
      </w:r>
    </w:p>
    <w:p w14:paraId="6E344AF6" w14:textId="206422A3" w:rsidR="00995855" w:rsidRPr="0013072B" w:rsidRDefault="00995855" w:rsidP="0084182A">
      <w:pPr>
        <w:keepNext/>
        <w:suppressAutoHyphens/>
        <w:spacing w:after="0" w:line="260" w:lineRule="exact"/>
        <w:rPr>
          <w:rFonts w:ascii="Arial" w:eastAsia="Times New Roman" w:hAnsi="Arial" w:cs="Arial"/>
          <w:bCs/>
          <w:color w:val="auto"/>
          <w:sz w:val="20"/>
          <w:szCs w:val="20"/>
          <w:lang w:eastAsia="en-GB"/>
        </w:rPr>
      </w:pPr>
      <w:r w:rsidRPr="0013072B">
        <w:rPr>
          <w:rFonts w:ascii="Arial" w:eastAsia="Times New Roman" w:hAnsi="Arial" w:cs="Arial"/>
          <w:b/>
          <w:color w:val="auto"/>
          <w:sz w:val="20"/>
          <w:szCs w:val="20"/>
          <w:lang w:eastAsia="en-GB"/>
        </w:rPr>
        <w:t>Table 1</w:t>
      </w:r>
      <w:r w:rsidRPr="0013072B">
        <w:rPr>
          <w:rFonts w:ascii="Arial" w:eastAsia="Times New Roman" w:hAnsi="Arial" w:cs="Arial"/>
          <w:bCs/>
          <w:color w:val="auto"/>
          <w:sz w:val="20"/>
          <w:szCs w:val="20"/>
          <w:lang w:eastAsia="en-GB"/>
        </w:rPr>
        <w:t xml:space="preserve"> Median total costs</w:t>
      </w:r>
      <w:r w:rsidRPr="0013072B">
        <w:rPr>
          <w:rFonts w:ascii="Arial" w:eastAsia="Times New Roman" w:hAnsi="Arial" w:cs="Arial"/>
          <w:bCs/>
          <w:color w:val="auto"/>
          <w:sz w:val="20"/>
          <w:szCs w:val="20"/>
          <w:vertAlign w:val="superscript"/>
          <w:lang w:eastAsia="en-GB"/>
        </w:rPr>
        <w:t>1</w:t>
      </w:r>
      <w:r w:rsidRPr="0013072B">
        <w:rPr>
          <w:rFonts w:ascii="Arial" w:eastAsia="Times New Roman" w:hAnsi="Arial" w:cs="Arial"/>
          <w:bCs/>
          <w:color w:val="auto"/>
          <w:sz w:val="20"/>
          <w:szCs w:val="20"/>
          <w:lang w:eastAsia="en-GB"/>
        </w:rPr>
        <w:t xml:space="preserve"> calculated from wholly or partly validated </w:t>
      </w:r>
      <w:r w:rsidR="0029380F" w:rsidRPr="0013072B">
        <w:rPr>
          <w:rFonts w:ascii="Arial" w:eastAsia="Times New Roman" w:hAnsi="Arial" w:cs="Arial"/>
          <w:bCs/>
          <w:color w:val="auto"/>
          <w:sz w:val="20"/>
          <w:szCs w:val="20"/>
          <w:lang w:eastAsia="en-GB"/>
        </w:rPr>
        <w:t>CoC</w:t>
      </w:r>
      <w:r w:rsidRPr="0013072B">
        <w:rPr>
          <w:rFonts w:ascii="Arial" w:eastAsia="Times New Roman" w:hAnsi="Arial" w:cs="Arial"/>
          <w:bCs/>
          <w:color w:val="auto"/>
          <w:sz w:val="20"/>
          <w:szCs w:val="20"/>
          <w:lang w:eastAsia="en-GB"/>
        </w:rPr>
        <w:t xml:space="preserve"> toolkit submissions by providers located in Oxfordshire (including return on capital and operating profit) at 2022/23 prices</w:t>
      </w:r>
    </w:p>
    <w:p w14:paraId="73E84606" w14:textId="77777777" w:rsidR="0084182A" w:rsidRPr="0084182A" w:rsidRDefault="0084182A" w:rsidP="0084182A">
      <w:pPr>
        <w:keepNext/>
        <w:suppressAutoHyphens/>
        <w:spacing w:after="0" w:line="260" w:lineRule="exact"/>
        <w:rPr>
          <w:rFonts w:ascii="Arial" w:eastAsia="Times New Roman" w:hAnsi="Arial" w:cs="Arial"/>
          <w:bCs/>
          <w:color w:val="auto"/>
          <w:sz w:val="18"/>
          <w:szCs w:val="18"/>
          <w:lang w:eastAsia="en-GB"/>
        </w:rPr>
      </w:pPr>
    </w:p>
    <w:tbl>
      <w:tblPr>
        <w:tblStyle w:val="TableGrid"/>
        <w:tblW w:w="9493" w:type="dxa"/>
        <w:tblLook w:val="04A0" w:firstRow="1" w:lastRow="0" w:firstColumn="1" w:lastColumn="0" w:noHBand="0" w:noVBand="1"/>
      </w:tblPr>
      <w:tblGrid>
        <w:gridCol w:w="1008"/>
        <w:gridCol w:w="866"/>
        <w:gridCol w:w="1051"/>
        <w:gridCol w:w="1817"/>
        <w:gridCol w:w="1817"/>
        <w:gridCol w:w="1550"/>
        <w:gridCol w:w="1384"/>
      </w:tblGrid>
      <w:tr w:rsidR="0084182A" w:rsidRPr="00507585" w14:paraId="42A17358" w14:textId="77777777" w:rsidTr="00287D1C">
        <w:trPr>
          <w:trHeight w:val="1193"/>
        </w:trPr>
        <w:tc>
          <w:tcPr>
            <w:tcW w:w="1008" w:type="dxa"/>
          </w:tcPr>
          <w:p w14:paraId="672CAEC9" w14:textId="77777777" w:rsidR="00995855" w:rsidRPr="0084182A" w:rsidRDefault="00995855" w:rsidP="0084182A">
            <w:pPr>
              <w:keepNext/>
              <w:suppressAutoHyphens/>
              <w:spacing w:after="0" w:line="240" w:lineRule="auto"/>
              <w:jc w:val="both"/>
              <w:rPr>
                <w:rFonts w:ascii="Arial" w:eastAsia="Times New Roman" w:hAnsi="Arial" w:cs="Arial"/>
                <w:bCs/>
                <w:color w:val="auto"/>
                <w:sz w:val="16"/>
                <w:szCs w:val="16"/>
                <w:lang w:eastAsia="en-GB"/>
              </w:rPr>
            </w:pPr>
          </w:p>
        </w:tc>
        <w:tc>
          <w:tcPr>
            <w:tcW w:w="866" w:type="dxa"/>
          </w:tcPr>
          <w:p w14:paraId="383A32C1" w14:textId="77777777" w:rsidR="00995855" w:rsidRPr="00507585" w:rsidRDefault="00995855" w:rsidP="0084182A">
            <w:pPr>
              <w:keepNext/>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Standard</w:t>
            </w:r>
          </w:p>
        </w:tc>
        <w:tc>
          <w:tcPr>
            <w:tcW w:w="1051" w:type="dxa"/>
          </w:tcPr>
          <w:p w14:paraId="2BB9F8DF" w14:textId="77777777" w:rsidR="00995855" w:rsidRPr="00507585" w:rsidRDefault="00995855" w:rsidP="0084182A">
            <w:pPr>
              <w:keepNext/>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Enhanced Care</w:t>
            </w:r>
          </w:p>
        </w:tc>
        <w:tc>
          <w:tcPr>
            <w:tcW w:w="1817" w:type="dxa"/>
          </w:tcPr>
          <w:p w14:paraId="188D45ED" w14:textId="77777777" w:rsidR="00995855" w:rsidRPr="00507585" w:rsidRDefault="00995855" w:rsidP="00EC7E75">
            <w:pPr>
              <w:keepNext/>
              <w:numPr>
                <w:ilvl w:val="0"/>
                <w:numId w:val="7"/>
              </w:numPr>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Fully validated submissions</w:t>
            </w:r>
          </w:p>
        </w:tc>
        <w:tc>
          <w:tcPr>
            <w:tcW w:w="1817" w:type="dxa"/>
          </w:tcPr>
          <w:p w14:paraId="7EC05070" w14:textId="77777777" w:rsidR="00995855" w:rsidRPr="00507585" w:rsidRDefault="00995855" w:rsidP="00EC7E75">
            <w:pPr>
              <w:keepNext/>
              <w:numPr>
                <w:ilvl w:val="0"/>
                <w:numId w:val="7"/>
              </w:numPr>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Partially validated submissions (with one or more validated cost lines)</w:t>
            </w:r>
          </w:p>
        </w:tc>
        <w:tc>
          <w:tcPr>
            <w:tcW w:w="1550" w:type="dxa"/>
          </w:tcPr>
          <w:p w14:paraId="32DAD37F" w14:textId="77777777" w:rsidR="00995855" w:rsidRPr="00507585" w:rsidRDefault="00995855" w:rsidP="00EC7E75">
            <w:pPr>
              <w:keepNext/>
              <w:numPr>
                <w:ilvl w:val="0"/>
                <w:numId w:val="7"/>
              </w:numPr>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Services in scope</w:t>
            </w:r>
          </w:p>
        </w:tc>
        <w:tc>
          <w:tcPr>
            <w:tcW w:w="1384" w:type="dxa"/>
          </w:tcPr>
          <w:p w14:paraId="0FF07DE4" w14:textId="1CE22922" w:rsidR="00995855" w:rsidRPr="00507585" w:rsidRDefault="00995855" w:rsidP="0084182A">
            <w:pPr>
              <w:suppressAutoHyphens/>
              <w:spacing w:after="0" w:line="240" w:lineRule="auto"/>
              <w:jc w:val="right"/>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Response</w:t>
            </w:r>
            <w:r w:rsidR="00287D1C">
              <w:rPr>
                <w:rFonts w:ascii="Arial" w:eastAsia="Times New Roman" w:hAnsi="Arial" w:cs="Arial"/>
                <w:bCs/>
                <w:color w:val="auto"/>
                <w:sz w:val="16"/>
                <w:szCs w:val="16"/>
                <w:lang w:eastAsia="en-GB"/>
              </w:rPr>
              <w:t xml:space="preserve"> </w:t>
            </w:r>
            <w:r w:rsidRPr="00507585">
              <w:rPr>
                <w:rFonts w:ascii="Arial" w:eastAsia="Times New Roman" w:hAnsi="Arial" w:cs="Arial"/>
                <w:bCs/>
                <w:color w:val="auto"/>
                <w:sz w:val="16"/>
                <w:szCs w:val="16"/>
                <w:lang w:eastAsia="en-GB"/>
              </w:rPr>
              <w:t xml:space="preserve">rate  </w:t>
            </w:r>
          </w:p>
          <w:p w14:paraId="181A43A3" w14:textId="77777777" w:rsidR="00995855" w:rsidRPr="00507585" w:rsidRDefault="00995855" w:rsidP="0084182A">
            <w:pPr>
              <w:keepNext/>
              <w:suppressAutoHyphens/>
              <w:spacing w:after="0" w:line="240" w:lineRule="auto"/>
              <w:jc w:val="both"/>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(A+ B) / C * 100</w:t>
            </w:r>
          </w:p>
        </w:tc>
      </w:tr>
      <w:tr w:rsidR="0084182A" w:rsidRPr="00507585" w14:paraId="1C5DA2AC" w14:textId="77777777" w:rsidTr="00287D1C">
        <w:tc>
          <w:tcPr>
            <w:tcW w:w="1008" w:type="dxa"/>
          </w:tcPr>
          <w:p w14:paraId="46D2DA79" w14:textId="77777777" w:rsidR="00995855" w:rsidRPr="00507585" w:rsidRDefault="00995855" w:rsidP="0084182A">
            <w:pPr>
              <w:keepNext/>
              <w:suppressAutoHyphens/>
              <w:spacing w:after="0" w:line="240" w:lineRule="auto"/>
              <w:jc w:val="both"/>
              <w:rPr>
                <w:rFonts w:ascii="Arial" w:eastAsia="Times New Roman" w:hAnsi="Arial" w:cs="Arial"/>
                <w:bCs/>
                <w:color w:val="auto"/>
                <w:sz w:val="16"/>
                <w:szCs w:val="16"/>
                <w:lang w:eastAsia="en-GB"/>
              </w:rPr>
            </w:pPr>
          </w:p>
        </w:tc>
        <w:tc>
          <w:tcPr>
            <w:tcW w:w="866" w:type="dxa"/>
          </w:tcPr>
          <w:p w14:paraId="22143631" w14:textId="77777777" w:rsidR="00995855" w:rsidRPr="00507585" w:rsidRDefault="00995855" w:rsidP="003B127C">
            <w:pPr>
              <w:keepNext/>
              <w:suppressAutoHyphens/>
              <w:spacing w:after="0" w:line="240" w:lineRule="auto"/>
              <w:jc w:val="center"/>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 per week</w:t>
            </w:r>
          </w:p>
        </w:tc>
        <w:tc>
          <w:tcPr>
            <w:tcW w:w="1051" w:type="dxa"/>
          </w:tcPr>
          <w:p w14:paraId="7C6FAE4B" w14:textId="77777777" w:rsidR="00995855" w:rsidRPr="00507585" w:rsidRDefault="00995855" w:rsidP="003B127C">
            <w:pPr>
              <w:keepNext/>
              <w:suppressAutoHyphens/>
              <w:spacing w:after="0" w:line="240" w:lineRule="auto"/>
              <w:jc w:val="center"/>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 per week</w:t>
            </w:r>
          </w:p>
        </w:tc>
        <w:tc>
          <w:tcPr>
            <w:tcW w:w="1817" w:type="dxa"/>
          </w:tcPr>
          <w:p w14:paraId="637E71CC" w14:textId="77777777" w:rsidR="00995855" w:rsidRPr="00507585" w:rsidRDefault="00995855" w:rsidP="003B127C">
            <w:pPr>
              <w:keepNext/>
              <w:suppressAutoHyphens/>
              <w:spacing w:after="0" w:line="240" w:lineRule="auto"/>
              <w:jc w:val="center"/>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Number</w:t>
            </w:r>
          </w:p>
        </w:tc>
        <w:tc>
          <w:tcPr>
            <w:tcW w:w="1817" w:type="dxa"/>
          </w:tcPr>
          <w:p w14:paraId="04E09760" w14:textId="77777777" w:rsidR="00995855" w:rsidRPr="00507585" w:rsidRDefault="00995855" w:rsidP="003B127C">
            <w:pPr>
              <w:keepNext/>
              <w:suppressAutoHyphens/>
              <w:spacing w:after="0" w:line="240" w:lineRule="auto"/>
              <w:jc w:val="center"/>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Number</w:t>
            </w:r>
          </w:p>
        </w:tc>
        <w:tc>
          <w:tcPr>
            <w:tcW w:w="1550" w:type="dxa"/>
          </w:tcPr>
          <w:p w14:paraId="371BDF72" w14:textId="77777777" w:rsidR="00995855" w:rsidRPr="00507585" w:rsidRDefault="00995855" w:rsidP="003B127C">
            <w:pPr>
              <w:keepNext/>
              <w:suppressAutoHyphens/>
              <w:spacing w:after="0" w:line="240" w:lineRule="auto"/>
              <w:jc w:val="center"/>
              <w:rPr>
                <w:rFonts w:ascii="Arial" w:eastAsia="Times New Roman" w:hAnsi="Arial" w:cs="Arial"/>
                <w:b/>
                <w:bCs/>
                <w:color w:val="auto"/>
                <w:sz w:val="16"/>
                <w:szCs w:val="16"/>
                <w:lang w:eastAsia="en-GB"/>
              </w:rPr>
            </w:pPr>
            <w:r w:rsidRPr="00507585">
              <w:rPr>
                <w:rFonts w:ascii="Arial" w:eastAsia="Times New Roman" w:hAnsi="Arial" w:cs="Arial"/>
                <w:bCs/>
                <w:color w:val="auto"/>
                <w:sz w:val="16"/>
                <w:szCs w:val="16"/>
                <w:lang w:eastAsia="en-GB"/>
              </w:rPr>
              <w:t>Number</w:t>
            </w:r>
          </w:p>
        </w:tc>
        <w:tc>
          <w:tcPr>
            <w:tcW w:w="1384" w:type="dxa"/>
          </w:tcPr>
          <w:p w14:paraId="4357DA47" w14:textId="77777777" w:rsidR="00995855" w:rsidRPr="00507585" w:rsidRDefault="00995855" w:rsidP="003B127C">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w:t>
            </w:r>
          </w:p>
        </w:tc>
      </w:tr>
      <w:tr w:rsidR="00B11321" w:rsidRPr="00507585" w14:paraId="6ADF606F" w14:textId="77777777" w:rsidTr="00287D1C">
        <w:tc>
          <w:tcPr>
            <w:tcW w:w="1008" w:type="dxa"/>
          </w:tcPr>
          <w:p w14:paraId="4F3661E5" w14:textId="77777777" w:rsidR="00B11321" w:rsidRPr="00507585" w:rsidRDefault="00B11321" w:rsidP="00B11321">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 xml:space="preserve">Nursing homes (65+) </w:t>
            </w:r>
          </w:p>
        </w:tc>
        <w:tc>
          <w:tcPr>
            <w:tcW w:w="866" w:type="dxa"/>
            <w:vAlign w:val="center"/>
          </w:tcPr>
          <w:p w14:paraId="74567DFB" w14:textId="7696C5E5" w:rsidR="00B11321" w:rsidRPr="00507585" w:rsidRDefault="00507585" w:rsidP="00B11321">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hAnsi="Arial" w:cs="Arial"/>
                <w:bCs/>
                <w:sz w:val="16"/>
                <w:szCs w:val="16"/>
              </w:rPr>
              <w:t>1,408</w:t>
            </w:r>
          </w:p>
        </w:tc>
        <w:tc>
          <w:tcPr>
            <w:tcW w:w="1051" w:type="dxa"/>
            <w:vAlign w:val="center"/>
          </w:tcPr>
          <w:p w14:paraId="352C06B0" w14:textId="1132CEB1" w:rsidR="00B11321" w:rsidRPr="00507585" w:rsidRDefault="00507585" w:rsidP="00B11321">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hAnsi="Arial" w:cs="Arial"/>
                <w:bCs/>
                <w:sz w:val="16"/>
                <w:szCs w:val="16"/>
              </w:rPr>
              <w:t>1,428</w:t>
            </w:r>
          </w:p>
        </w:tc>
        <w:tc>
          <w:tcPr>
            <w:tcW w:w="1817" w:type="dxa"/>
          </w:tcPr>
          <w:p w14:paraId="3589C1BF"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75095531" w14:textId="303D2A3A" w:rsidR="00B11321"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33</w:t>
            </w:r>
          </w:p>
        </w:tc>
        <w:tc>
          <w:tcPr>
            <w:tcW w:w="1817" w:type="dxa"/>
          </w:tcPr>
          <w:p w14:paraId="55490967"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02162F0B" w14:textId="6E9495F0" w:rsidR="00B11321"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8</w:t>
            </w:r>
          </w:p>
        </w:tc>
        <w:tc>
          <w:tcPr>
            <w:tcW w:w="1550" w:type="dxa"/>
          </w:tcPr>
          <w:p w14:paraId="1DFB427C"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28175E63" w14:textId="40BC970A" w:rsidR="00B11321"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75</w:t>
            </w:r>
          </w:p>
        </w:tc>
        <w:tc>
          <w:tcPr>
            <w:tcW w:w="1384" w:type="dxa"/>
          </w:tcPr>
          <w:p w14:paraId="27A4267D"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238CC7F2" w14:textId="018D5FE3" w:rsidR="00B11321"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55%</w:t>
            </w:r>
          </w:p>
        </w:tc>
      </w:tr>
      <w:tr w:rsidR="0084182A" w:rsidRPr="00507585" w14:paraId="460F58FF" w14:textId="77777777" w:rsidTr="00287D1C">
        <w:tc>
          <w:tcPr>
            <w:tcW w:w="1008" w:type="dxa"/>
          </w:tcPr>
          <w:p w14:paraId="52D5056E" w14:textId="77777777" w:rsidR="00995855" w:rsidRPr="00507585" w:rsidRDefault="00995855" w:rsidP="0084182A">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Residential homes (65+)</w:t>
            </w:r>
          </w:p>
        </w:tc>
        <w:tc>
          <w:tcPr>
            <w:tcW w:w="866" w:type="dxa"/>
            <w:vAlign w:val="center"/>
          </w:tcPr>
          <w:p w14:paraId="513E224E" w14:textId="65301060" w:rsidR="00995855" w:rsidRPr="00507585" w:rsidRDefault="00507585" w:rsidP="0084182A">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1,121</w:t>
            </w:r>
          </w:p>
        </w:tc>
        <w:tc>
          <w:tcPr>
            <w:tcW w:w="1051" w:type="dxa"/>
            <w:vAlign w:val="center"/>
          </w:tcPr>
          <w:p w14:paraId="57B6DFE7" w14:textId="7FF115ED" w:rsidR="00995855" w:rsidRPr="00507585" w:rsidRDefault="00507585" w:rsidP="0084182A">
            <w:pPr>
              <w:keepNext/>
              <w:suppressAutoHyphens/>
              <w:spacing w:after="0" w:line="240" w:lineRule="auto"/>
              <w:jc w:val="both"/>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1,188</w:t>
            </w:r>
          </w:p>
        </w:tc>
        <w:tc>
          <w:tcPr>
            <w:tcW w:w="1817" w:type="dxa"/>
          </w:tcPr>
          <w:p w14:paraId="5B29D31B"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1DB88B65" w14:textId="00DA8B97" w:rsidR="00995855" w:rsidRPr="00507585" w:rsidRDefault="00995855"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13</w:t>
            </w:r>
          </w:p>
        </w:tc>
        <w:tc>
          <w:tcPr>
            <w:tcW w:w="1817" w:type="dxa"/>
          </w:tcPr>
          <w:p w14:paraId="42D6AD21"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4BC85970" w14:textId="6DFA9FF0" w:rsidR="00995855" w:rsidRPr="00507585" w:rsidRDefault="00995855"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2</w:t>
            </w:r>
          </w:p>
        </w:tc>
        <w:tc>
          <w:tcPr>
            <w:tcW w:w="1550" w:type="dxa"/>
          </w:tcPr>
          <w:p w14:paraId="66846E6E"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601BFCEB" w14:textId="4B325F72" w:rsidR="00995855"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36</w:t>
            </w:r>
          </w:p>
        </w:tc>
        <w:tc>
          <w:tcPr>
            <w:tcW w:w="1384" w:type="dxa"/>
          </w:tcPr>
          <w:p w14:paraId="4B02E072" w14:textId="77777777" w:rsidR="00142784" w:rsidRPr="00507585" w:rsidRDefault="00142784" w:rsidP="00142784">
            <w:pPr>
              <w:keepNext/>
              <w:suppressAutoHyphens/>
              <w:spacing w:after="0" w:line="240" w:lineRule="auto"/>
              <w:jc w:val="center"/>
              <w:rPr>
                <w:rFonts w:ascii="Arial" w:eastAsia="Times New Roman" w:hAnsi="Arial" w:cs="Arial"/>
                <w:bCs/>
                <w:color w:val="auto"/>
                <w:sz w:val="16"/>
                <w:szCs w:val="16"/>
                <w:lang w:eastAsia="en-GB"/>
              </w:rPr>
            </w:pPr>
          </w:p>
          <w:p w14:paraId="2CC2BE68" w14:textId="5F654487" w:rsidR="00995855" w:rsidRPr="00507585" w:rsidRDefault="00B11321" w:rsidP="00142784">
            <w:pPr>
              <w:keepNext/>
              <w:suppressAutoHyphens/>
              <w:spacing w:after="0" w:line="240" w:lineRule="auto"/>
              <w:jc w:val="center"/>
              <w:rPr>
                <w:rFonts w:ascii="Arial" w:eastAsia="Times New Roman" w:hAnsi="Arial" w:cs="Arial"/>
                <w:bCs/>
                <w:color w:val="auto"/>
                <w:sz w:val="16"/>
                <w:szCs w:val="16"/>
                <w:lang w:eastAsia="en-GB"/>
              </w:rPr>
            </w:pPr>
            <w:r w:rsidRPr="00507585">
              <w:rPr>
                <w:rFonts w:ascii="Arial" w:eastAsia="Times New Roman" w:hAnsi="Arial" w:cs="Arial"/>
                <w:bCs/>
                <w:color w:val="auto"/>
                <w:sz w:val="16"/>
                <w:szCs w:val="16"/>
                <w:lang w:eastAsia="en-GB"/>
              </w:rPr>
              <w:t>42</w:t>
            </w:r>
            <w:r w:rsidR="00995855" w:rsidRPr="00507585">
              <w:rPr>
                <w:rFonts w:ascii="Arial" w:eastAsia="Times New Roman" w:hAnsi="Arial" w:cs="Arial"/>
                <w:bCs/>
                <w:color w:val="auto"/>
                <w:sz w:val="16"/>
                <w:szCs w:val="16"/>
                <w:lang w:eastAsia="en-GB"/>
              </w:rPr>
              <w:t>%</w:t>
            </w:r>
          </w:p>
        </w:tc>
      </w:tr>
    </w:tbl>
    <w:p w14:paraId="695908F2" w14:textId="77777777" w:rsidR="0013072B" w:rsidRDefault="0013072B" w:rsidP="00B44001">
      <w:pPr>
        <w:suppressAutoHyphens/>
        <w:spacing w:after="0" w:line="240" w:lineRule="auto"/>
        <w:jc w:val="both"/>
        <w:rPr>
          <w:rFonts w:ascii="Arial" w:eastAsia="Times New Roman" w:hAnsi="Arial" w:cs="Arial"/>
          <w:bCs/>
          <w:color w:val="auto"/>
          <w:sz w:val="16"/>
          <w:szCs w:val="16"/>
          <w:lang w:eastAsia="en-GB"/>
        </w:rPr>
      </w:pPr>
    </w:p>
    <w:p w14:paraId="2715EA75" w14:textId="3C50E043" w:rsidR="00B44001" w:rsidRDefault="00B44001" w:rsidP="00B44001">
      <w:pPr>
        <w:suppressAutoHyphens/>
        <w:spacing w:after="0" w:line="240" w:lineRule="auto"/>
        <w:jc w:val="both"/>
        <w:rPr>
          <w:rFonts w:ascii="Arial" w:eastAsia="Times New Roman" w:hAnsi="Arial" w:cs="Arial"/>
          <w:bCs/>
          <w:color w:val="auto"/>
          <w:sz w:val="18"/>
          <w:szCs w:val="18"/>
          <w:lang w:eastAsia="en-GB"/>
        </w:rPr>
      </w:pPr>
      <w:r w:rsidRPr="0013072B">
        <w:rPr>
          <w:rFonts w:ascii="Arial" w:eastAsia="Times New Roman" w:hAnsi="Arial" w:cs="Arial"/>
          <w:bCs/>
          <w:color w:val="auto"/>
          <w:sz w:val="18"/>
          <w:szCs w:val="18"/>
          <w:lang w:eastAsia="en-GB"/>
        </w:rPr>
        <w:t>The calculated values incorporate the following council-determined benchmarks, which supersede median values from toolkit responses:</w:t>
      </w:r>
    </w:p>
    <w:p w14:paraId="05B83426" w14:textId="77777777" w:rsidR="0013072B" w:rsidRPr="0013072B" w:rsidRDefault="0013072B" w:rsidP="00B44001">
      <w:pPr>
        <w:suppressAutoHyphens/>
        <w:spacing w:after="0" w:line="240" w:lineRule="auto"/>
        <w:jc w:val="both"/>
        <w:rPr>
          <w:rFonts w:ascii="Arial" w:eastAsia="Times New Roman" w:hAnsi="Arial" w:cs="Arial"/>
          <w:bCs/>
          <w:color w:val="auto"/>
          <w:sz w:val="18"/>
          <w:szCs w:val="18"/>
          <w:lang w:eastAsia="en-GB"/>
        </w:rPr>
      </w:pPr>
    </w:p>
    <w:p w14:paraId="0ED0555C" w14:textId="77777777" w:rsidR="00B44001" w:rsidRPr="0013072B" w:rsidRDefault="00B44001" w:rsidP="00B44001">
      <w:pPr>
        <w:pStyle w:val="ListParagraph"/>
        <w:keepNext/>
        <w:numPr>
          <w:ilvl w:val="0"/>
          <w:numId w:val="33"/>
        </w:numPr>
        <w:jc w:val="both"/>
        <w:rPr>
          <w:rFonts w:ascii="Arial" w:hAnsi="Arial" w:cs="Arial"/>
          <w:bCs/>
          <w:color w:val="auto"/>
          <w:sz w:val="18"/>
          <w:szCs w:val="18"/>
          <w:vertAlign w:val="superscript"/>
        </w:rPr>
      </w:pPr>
      <w:r w:rsidRPr="0013072B">
        <w:rPr>
          <w:rFonts w:ascii="Arial" w:hAnsi="Arial" w:cs="Arial"/>
          <w:bCs/>
          <w:color w:val="auto"/>
          <w:sz w:val="18"/>
          <w:szCs w:val="18"/>
        </w:rPr>
        <w:t xml:space="preserve">Return on capital 6% pa applied to median freehold valuation per resident </w:t>
      </w:r>
      <w:r w:rsidRPr="0013072B">
        <w:rPr>
          <w:rFonts w:ascii="Arial" w:hAnsi="Arial" w:cs="Arial"/>
          <w:bCs/>
          <w:color w:val="auto"/>
          <w:sz w:val="18"/>
          <w:szCs w:val="18"/>
          <w:vertAlign w:val="superscript"/>
        </w:rPr>
        <w:t>2</w:t>
      </w:r>
    </w:p>
    <w:p w14:paraId="22A526C3" w14:textId="69676F81" w:rsidR="00B44001" w:rsidRPr="0013072B" w:rsidRDefault="00B44001" w:rsidP="00B44001">
      <w:pPr>
        <w:pStyle w:val="ListParagraph"/>
        <w:numPr>
          <w:ilvl w:val="0"/>
          <w:numId w:val="33"/>
        </w:numPr>
        <w:spacing w:line="280" w:lineRule="exact"/>
        <w:jc w:val="both"/>
        <w:rPr>
          <w:rFonts w:ascii="Arial" w:hAnsi="Arial" w:cs="Arial"/>
          <w:bCs/>
          <w:color w:val="auto"/>
          <w:sz w:val="16"/>
          <w:szCs w:val="16"/>
          <w:vertAlign w:val="superscript"/>
        </w:rPr>
      </w:pPr>
      <w:r w:rsidRPr="0013072B">
        <w:rPr>
          <w:rFonts w:ascii="Arial" w:hAnsi="Arial" w:cs="Arial"/>
          <w:bCs/>
          <w:color w:val="auto"/>
          <w:sz w:val="18"/>
          <w:szCs w:val="18"/>
        </w:rPr>
        <w:t>Return on operations 5% mark-up on median operating costs derived from validated toolkit responses</w:t>
      </w:r>
    </w:p>
    <w:p w14:paraId="2CFAA843" w14:textId="77777777" w:rsidR="00B44001" w:rsidRPr="0013072B" w:rsidRDefault="00B44001" w:rsidP="00995855">
      <w:pPr>
        <w:spacing w:after="0" w:line="280" w:lineRule="exact"/>
        <w:jc w:val="both"/>
        <w:rPr>
          <w:rFonts w:ascii="Arial" w:hAnsi="Arial" w:cs="Arial"/>
          <w:bCs/>
          <w:color w:val="auto"/>
          <w:sz w:val="16"/>
          <w:szCs w:val="16"/>
          <w:vertAlign w:val="superscript"/>
        </w:rPr>
      </w:pPr>
    </w:p>
    <w:p w14:paraId="5C86C6F1" w14:textId="34CCB9A4" w:rsidR="00995855" w:rsidRPr="00B44001" w:rsidRDefault="00995855" w:rsidP="00995855">
      <w:pPr>
        <w:spacing w:after="0" w:line="280" w:lineRule="exact"/>
        <w:jc w:val="both"/>
        <w:rPr>
          <w:rFonts w:ascii="Arial" w:hAnsi="Arial" w:cs="Arial"/>
          <w:color w:val="auto"/>
          <w:sz w:val="14"/>
          <w:szCs w:val="14"/>
          <w:vertAlign w:val="superscript"/>
        </w:rPr>
      </w:pPr>
      <w:r w:rsidRPr="009B71B2">
        <w:rPr>
          <w:rFonts w:ascii="Arial" w:hAnsi="Arial" w:cs="Arial"/>
          <w:color w:val="auto"/>
          <w:sz w:val="14"/>
          <w:szCs w:val="14"/>
          <w:vertAlign w:val="superscript"/>
        </w:rPr>
        <w:t xml:space="preserve">1 </w:t>
      </w:r>
      <w:r w:rsidR="0084182A" w:rsidRPr="009B71B2">
        <w:rPr>
          <w:rFonts w:ascii="Arial" w:hAnsi="Arial" w:cs="Arial"/>
          <w:color w:val="auto"/>
          <w:sz w:val="14"/>
          <w:szCs w:val="14"/>
          <w:vertAlign w:val="superscript"/>
        </w:rPr>
        <w:t xml:space="preserve">  </w:t>
      </w:r>
      <w:r w:rsidRPr="009B71B2">
        <w:rPr>
          <w:rFonts w:ascii="Arial" w:hAnsi="Arial" w:cs="Arial"/>
          <w:color w:val="auto"/>
          <w:sz w:val="14"/>
          <w:szCs w:val="14"/>
        </w:rPr>
        <w:t>Derived from Table 4</w:t>
      </w:r>
    </w:p>
    <w:p w14:paraId="398AF9C5" w14:textId="2DE0CDDD" w:rsidR="00995855" w:rsidRPr="009B71B2" w:rsidRDefault="00995855" w:rsidP="00995855">
      <w:pPr>
        <w:spacing w:after="0" w:line="240" w:lineRule="auto"/>
        <w:jc w:val="both"/>
        <w:rPr>
          <w:rFonts w:ascii="Arial" w:hAnsi="Arial" w:cs="Arial"/>
          <w:color w:val="auto"/>
          <w:sz w:val="14"/>
          <w:szCs w:val="14"/>
        </w:rPr>
      </w:pPr>
      <w:r w:rsidRPr="009B71B2">
        <w:rPr>
          <w:rFonts w:ascii="Arial" w:hAnsi="Arial" w:cs="Arial"/>
          <w:color w:val="auto"/>
          <w:sz w:val="14"/>
          <w:szCs w:val="14"/>
          <w:vertAlign w:val="superscript"/>
        </w:rPr>
        <w:t xml:space="preserve">2 </w:t>
      </w:r>
      <w:r w:rsidRPr="009B71B2">
        <w:rPr>
          <w:rFonts w:ascii="Arial" w:hAnsi="Arial" w:cs="Arial"/>
          <w:color w:val="auto"/>
          <w:sz w:val="14"/>
          <w:szCs w:val="14"/>
        </w:rPr>
        <w:t xml:space="preserve"> Care home valuation per resident may be capped to excludes costs of high specification assets aimed at the private pay market, see Section 2.11.1.</w:t>
      </w:r>
    </w:p>
    <w:p w14:paraId="24466536" w14:textId="55A5F762" w:rsidR="00507585" w:rsidRPr="009B71B2" w:rsidRDefault="00507585" w:rsidP="00995855">
      <w:pPr>
        <w:spacing w:after="0" w:line="240" w:lineRule="auto"/>
        <w:jc w:val="both"/>
        <w:rPr>
          <w:rFonts w:ascii="Arial" w:hAnsi="Arial" w:cs="Arial"/>
          <w:color w:val="auto"/>
          <w:sz w:val="14"/>
          <w:szCs w:val="14"/>
        </w:rPr>
      </w:pPr>
      <w:r w:rsidRPr="009B71B2">
        <w:rPr>
          <w:rFonts w:ascii="Arial" w:hAnsi="Arial" w:cs="Arial"/>
          <w:color w:val="auto"/>
          <w:sz w:val="8"/>
          <w:szCs w:val="8"/>
        </w:rPr>
        <w:t>3</w:t>
      </w:r>
      <w:r w:rsidRPr="009B71B2">
        <w:rPr>
          <w:rFonts w:ascii="Arial" w:hAnsi="Arial" w:cs="Arial"/>
          <w:color w:val="auto"/>
          <w:sz w:val="14"/>
          <w:szCs w:val="14"/>
        </w:rPr>
        <w:t xml:space="preserve"> </w:t>
      </w:r>
      <w:r w:rsidR="009B71B2">
        <w:rPr>
          <w:rFonts w:ascii="Arial" w:hAnsi="Arial" w:cs="Arial"/>
          <w:color w:val="auto"/>
          <w:sz w:val="14"/>
          <w:szCs w:val="14"/>
        </w:rPr>
        <w:t>One care home</w:t>
      </w:r>
      <w:r w:rsidRPr="009B71B2">
        <w:rPr>
          <w:rFonts w:ascii="Arial" w:hAnsi="Arial" w:cs="Arial"/>
          <w:color w:val="auto"/>
          <w:sz w:val="14"/>
          <w:szCs w:val="14"/>
        </w:rPr>
        <w:t xml:space="preserve"> submitted twice, therefore only on</w:t>
      </w:r>
      <w:r w:rsidR="009B71B2">
        <w:rPr>
          <w:rFonts w:ascii="Arial" w:hAnsi="Arial" w:cs="Arial"/>
          <w:color w:val="auto"/>
          <w:sz w:val="14"/>
          <w:szCs w:val="14"/>
        </w:rPr>
        <w:t>e</w:t>
      </w:r>
      <w:r w:rsidRPr="009B71B2">
        <w:rPr>
          <w:rFonts w:ascii="Arial" w:hAnsi="Arial" w:cs="Arial"/>
          <w:color w:val="auto"/>
          <w:sz w:val="14"/>
          <w:szCs w:val="14"/>
        </w:rPr>
        <w:t xml:space="preserve"> submission is counted, meaning that total all in scope care home is 111.</w:t>
      </w:r>
    </w:p>
    <w:p w14:paraId="239CDBD3" w14:textId="52AB795B" w:rsidR="00995855" w:rsidRDefault="00995855" w:rsidP="00995855">
      <w:pPr>
        <w:spacing w:after="0" w:line="280" w:lineRule="exact"/>
        <w:jc w:val="both"/>
        <w:rPr>
          <w:rFonts w:ascii="Arial" w:hAnsi="Arial" w:cs="Arial"/>
          <w:color w:val="auto"/>
        </w:rPr>
      </w:pPr>
    </w:p>
    <w:p w14:paraId="175B8216" w14:textId="77777777" w:rsidR="0013072B" w:rsidRPr="0084182A" w:rsidRDefault="0013072B" w:rsidP="00995855">
      <w:pPr>
        <w:spacing w:after="0" w:line="280" w:lineRule="exact"/>
        <w:jc w:val="both"/>
        <w:rPr>
          <w:rFonts w:ascii="Arial" w:hAnsi="Arial" w:cs="Arial"/>
          <w:color w:val="auto"/>
        </w:rPr>
      </w:pPr>
    </w:p>
    <w:p w14:paraId="53A9FEA6" w14:textId="77777777" w:rsidR="00995855" w:rsidRPr="0084182A" w:rsidRDefault="00995855" w:rsidP="00995855">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3" w:name="_Toc114240144"/>
      <w:r w:rsidRPr="0084182A">
        <w:rPr>
          <w:rFonts w:ascii="Arial" w:eastAsia="Times New Roman" w:hAnsi="Arial" w:cs="Arial"/>
          <w:color w:val="auto"/>
          <w:lang w:eastAsia="en-GB"/>
        </w:rPr>
        <w:t>1.2 Response rates</w:t>
      </w:r>
      <w:bookmarkEnd w:id="3"/>
    </w:p>
    <w:p w14:paraId="3B9B0DB5" w14:textId="77777777" w:rsidR="00995855" w:rsidRPr="0084182A" w:rsidRDefault="00995855" w:rsidP="00995855">
      <w:pPr>
        <w:spacing w:after="0" w:line="280" w:lineRule="exact"/>
        <w:jc w:val="both"/>
        <w:rPr>
          <w:rFonts w:ascii="Arial" w:hAnsi="Arial" w:cs="Arial"/>
          <w:color w:val="auto"/>
        </w:rPr>
      </w:pPr>
    </w:p>
    <w:p w14:paraId="4669A5B5" w14:textId="37F0855A" w:rsidR="00995855" w:rsidRDefault="00811DB5" w:rsidP="00995855">
      <w:pPr>
        <w:spacing w:after="0" w:line="280" w:lineRule="exact"/>
        <w:jc w:val="both"/>
        <w:rPr>
          <w:rFonts w:ascii="Arial" w:hAnsi="Arial" w:cs="Arial"/>
          <w:color w:val="auto"/>
        </w:rPr>
      </w:pPr>
      <w:r>
        <w:rPr>
          <w:rFonts w:ascii="Arial" w:hAnsi="Arial" w:cs="Arial"/>
          <w:color w:val="auto"/>
        </w:rPr>
        <w:t xml:space="preserve">LaingBuisson validated </w:t>
      </w:r>
      <w:r w:rsidR="00995855" w:rsidRPr="0084182A">
        <w:rPr>
          <w:rFonts w:ascii="Arial" w:hAnsi="Arial" w:cs="Arial"/>
          <w:color w:val="auto"/>
        </w:rPr>
        <w:t>fifty-six fully toolkits represent</w:t>
      </w:r>
      <w:r w:rsidR="009B3861">
        <w:rPr>
          <w:rFonts w:ascii="Arial" w:hAnsi="Arial" w:cs="Arial"/>
          <w:color w:val="auto"/>
        </w:rPr>
        <w:t>ing</w:t>
      </w:r>
      <w:r w:rsidR="00995855" w:rsidRPr="0084182A">
        <w:rPr>
          <w:rFonts w:ascii="Arial" w:hAnsi="Arial" w:cs="Arial"/>
          <w:color w:val="auto"/>
        </w:rPr>
        <w:t xml:space="preserve"> a response rate of </w:t>
      </w:r>
      <w:r w:rsidR="00995855" w:rsidRPr="00507585">
        <w:rPr>
          <w:rFonts w:ascii="Arial" w:hAnsi="Arial" w:cs="Arial"/>
          <w:color w:val="auto"/>
        </w:rPr>
        <w:t>5</w:t>
      </w:r>
      <w:r w:rsidR="00BF0C19" w:rsidRPr="00507585">
        <w:rPr>
          <w:rFonts w:ascii="Arial" w:hAnsi="Arial" w:cs="Arial"/>
          <w:color w:val="auto"/>
        </w:rPr>
        <w:t>0</w:t>
      </w:r>
      <w:r w:rsidR="00995855" w:rsidRPr="00507585">
        <w:rPr>
          <w:rFonts w:ascii="Arial" w:hAnsi="Arial" w:cs="Arial"/>
          <w:color w:val="auto"/>
        </w:rPr>
        <w:t>%</w:t>
      </w:r>
      <w:r w:rsidR="00995855" w:rsidRPr="0084182A">
        <w:rPr>
          <w:rFonts w:ascii="Arial" w:hAnsi="Arial" w:cs="Arial"/>
          <w:color w:val="auto"/>
        </w:rPr>
        <w:t xml:space="preserve"> of care homes in scope</w:t>
      </w:r>
      <w:r w:rsidR="00DB1346">
        <w:rPr>
          <w:rFonts w:ascii="Arial" w:hAnsi="Arial" w:cs="Arial"/>
          <w:color w:val="auto"/>
        </w:rPr>
        <w:t xml:space="preserve"> (55%</w:t>
      </w:r>
      <w:r w:rsidR="00BF0C19" w:rsidRPr="00BF0C19">
        <w:rPr>
          <w:rFonts w:ascii="Arial" w:hAnsi="Arial" w:cs="Arial"/>
          <w:color w:val="auto"/>
        </w:rPr>
        <w:t xml:space="preserve"> for nursing homes and </w:t>
      </w:r>
      <w:r w:rsidR="00DB1346">
        <w:rPr>
          <w:rFonts w:ascii="Arial" w:hAnsi="Arial" w:cs="Arial"/>
          <w:color w:val="auto"/>
        </w:rPr>
        <w:t>42</w:t>
      </w:r>
      <w:r w:rsidR="00BF0C19" w:rsidRPr="00BF0C19">
        <w:rPr>
          <w:rFonts w:ascii="Arial" w:hAnsi="Arial" w:cs="Arial"/>
          <w:color w:val="auto"/>
        </w:rPr>
        <w:t>% for residential homes</w:t>
      </w:r>
      <w:r w:rsidR="00DB1346">
        <w:rPr>
          <w:rFonts w:ascii="Arial" w:hAnsi="Arial" w:cs="Arial"/>
          <w:color w:val="auto"/>
        </w:rPr>
        <w:t>)</w:t>
      </w:r>
      <w:r>
        <w:rPr>
          <w:rFonts w:ascii="Arial" w:hAnsi="Arial" w:cs="Arial"/>
          <w:color w:val="auto"/>
        </w:rPr>
        <w:t>.</w:t>
      </w:r>
      <w:r w:rsidR="00BF0C19" w:rsidRPr="00BF0C19">
        <w:rPr>
          <w:rFonts w:ascii="Arial" w:hAnsi="Arial" w:cs="Arial"/>
          <w:color w:val="auto"/>
        </w:rPr>
        <w:t xml:space="preserve"> </w:t>
      </w:r>
      <w:r w:rsidR="00995855" w:rsidRPr="0084182A">
        <w:rPr>
          <w:rFonts w:ascii="Arial" w:hAnsi="Arial" w:cs="Arial"/>
          <w:color w:val="auto"/>
        </w:rPr>
        <w:t xml:space="preserve">For some individual cost lines, the effective response rate was higher and for some it was lower, see </w:t>
      </w:r>
      <w:r w:rsidR="00995855" w:rsidRPr="00507585">
        <w:rPr>
          <w:rFonts w:ascii="Arial" w:hAnsi="Arial" w:cs="Arial"/>
          <w:color w:val="auto"/>
        </w:rPr>
        <w:t>Table 4</w:t>
      </w:r>
      <w:r w:rsidR="00995855" w:rsidRPr="0084182A">
        <w:rPr>
          <w:rFonts w:ascii="Arial" w:hAnsi="Arial" w:cs="Arial"/>
          <w:color w:val="auto"/>
        </w:rPr>
        <w:t xml:space="preserve"> for the number of respondents (in brackets) for each individual cost line. </w:t>
      </w:r>
    </w:p>
    <w:p w14:paraId="21389BFF" w14:textId="452E4A0D" w:rsidR="0013072B" w:rsidRDefault="0013072B" w:rsidP="00995855">
      <w:pPr>
        <w:spacing w:after="0" w:line="280" w:lineRule="exact"/>
        <w:jc w:val="both"/>
        <w:rPr>
          <w:rFonts w:ascii="Arial" w:hAnsi="Arial" w:cs="Arial"/>
          <w:color w:val="auto"/>
        </w:rPr>
      </w:pPr>
    </w:p>
    <w:p w14:paraId="1BDBA5B9" w14:textId="54716B3E" w:rsidR="0013072B" w:rsidRDefault="0013072B" w:rsidP="00995855">
      <w:pPr>
        <w:spacing w:after="0" w:line="280" w:lineRule="exact"/>
        <w:jc w:val="both"/>
        <w:rPr>
          <w:rFonts w:ascii="Arial" w:hAnsi="Arial" w:cs="Arial"/>
          <w:color w:val="auto"/>
        </w:rPr>
      </w:pPr>
    </w:p>
    <w:p w14:paraId="4DC67CB8" w14:textId="77777777" w:rsidR="0013072B" w:rsidRPr="0084182A" w:rsidRDefault="0013072B" w:rsidP="00995855">
      <w:pPr>
        <w:spacing w:after="0" w:line="280" w:lineRule="exact"/>
        <w:jc w:val="both"/>
        <w:rPr>
          <w:rFonts w:ascii="Arial" w:hAnsi="Arial" w:cs="Arial"/>
          <w:color w:val="auto"/>
        </w:rPr>
      </w:pPr>
    </w:p>
    <w:p w14:paraId="5E06D922" w14:textId="77777777" w:rsidR="00995855" w:rsidRPr="0084182A" w:rsidRDefault="00995855" w:rsidP="00995855">
      <w:pPr>
        <w:spacing w:after="0" w:line="280" w:lineRule="exact"/>
        <w:jc w:val="both"/>
        <w:rPr>
          <w:rFonts w:ascii="Arial" w:hAnsi="Arial" w:cs="Arial"/>
          <w:color w:val="auto"/>
        </w:rPr>
      </w:pPr>
    </w:p>
    <w:p w14:paraId="253A48DF" w14:textId="595ED497" w:rsidR="00DF5EC3" w:rsidRPr="00FA2DDA" w:rsidRDefault="00995855" w:rsidP="00FA2DDA">
      <w:pPr>
        <w:pStyle w:val="ListParagraph"/>
        <w:numPr>
          <w:ilvl w:val="1"/>
          <w:numId w:val="30"/>
        </w:numPr>
        <w:tabs>
          <w:tab w:val="right" w:pos="9071"/>
        </w:tabs>
        <w:spacing w:line="280" w:lineRule="exact"/>
        <w:outlineLvl w:val="1"/>
        <w:rPr>
          <w:rFonts w:ascii="Arial" w:hAnsi="Arial" w:cs="Arial"/>
          <w:color w:val="auto"/>
        </w:rPr>
      </w:pPr>
      <w:bookmarkStart w:id="4" w:name="_Toc114240145"/>
      <w:r w:rsidRPr="00FA2DDA">
        <w:rPr>
          <w:rFonts w:ascii="Arial" w:hAnsi="Arial" w:cs="Arial"/>
          <w:color w:val="auto"/>
        </w:rPr>
        <w:lastRenderedPageBreak/>
        <w:t xml:space="preserve">Methodology - validation, correction of anomalies, outlier exclusions and calculation of </w:t>
      </w:r>
    </w:p>
    <w:p w14:paraId="0B957325" w14:textId="6C9D2D00" w:rsidR="0013072B" w:rsidRDefault="00DF5EC3" w:rsidP="0013072B">
      <w:pPr>
        <w:pStyle w:val="ListParagraph"/>
        <w:tabs>
          <w:tab w:val="num" w:pos="0"/>
          <w:tab w:val="right" w:pos="9071"/>
        </w:tabs>
        <w:spacing w:line="280" w:lineRule="exact"/>
        <w:ind w:left="369"/>
        <w:outlineLvl w:val="1"/>
        <w:rPr>
          <w:rFonts w:ascii="Arial" w:hAnsi="Arial" w:cs="Arial"/>
          <w:color w:val="auto"/>
        </w:rPr>
      </w:pPr>
      <w:r w:rsidRPr="00DF5EC3">
        <w:rPr>
          <w:rFonts w:ascii="Arial" w:hAnsi="Arial" w:cs="Arial"/>
          <w:color w:val="auto"/>
        </w:rPr>
        <w:t>M</w:t>
      </w:r>
      <w:r w:rsidR="00995855" w:rsidRPr="00DF5EC3">
        <w:rPr>
          <w:rFonts w:ascii="Arial" w:hAnsi="Arial" w:cs="Arial"/>
          <w:color w:val="auto"/>
        </w:rPr>
        <w:t>edians</w:t>
      </w:r>
      <w:bookmarkEnd w:id="4"/>
      <w:r>
        <w:rPr>
          <w:rFonts w:ascii="Arial" w:hAnsi="Arial" w:cs="Arial"/>
          <w:color w:val="auto"/>
        </w:rPr>
        <w:t>.</w:t>
      </w:r>
      <w:bookmarkStart w:id="5" w:name="_Hlk116049773"/>
    </w:p>
    <w:p w14:paraId="64D45202" w14:textId="77777777" w:rsidR="0013072B" w:rsidRDefault="0013072B" w:rsidP="0013072B">
      <w:pPr>
        <w:pStyle w:val="ListParagraph"/>
        <w:tabs>
          <w:tab w:val="num" w:pos="0"/>
          <w:tab w:val="right" w:pos="9071"/>
        </w:tabs>
        <w:spacing w:line="280" w:lineRule="exact"/>
        <w:ind w:left="369"/>
        <w:outlineLvl w:val="1"/>
        <w:rPr>
          <w:rFonts w:ascii="Arial" w:hAnsi="Arial" w:cs="Arial"/>
          <w:color w:val="auto"/>
        </w:rPr>
      </w:pPr>
    </w:p>
    <w:p w14:paraId="64D0C529" w14:textId="41396CD1" w:rsidR="00B31F72" w:rsidRDefault="00995855" w:rsidP="0013072B">
      <w:pPr>
        <w:tabs>
          <w:tab w:val="num" w:pos="0"/>
          <w:tab w:val="right" w:pos="9071"/>
        </w:tabs>
        <w:spacing w:line="280" w:lineRule="exact"/>
        <w:outlineLvl w:val="1"/>
        <w:rPr>
          <w:rFonts w:ascii="Arial" w:hAnsi="Arial" w:cs="Arial"/>
          <w:color w:val="auto"/>
        </w:rPr>
      </w:pPr>
      <w:r w:rsidRPr="0013072B">
        <w:rPr>
          <w:rFonts w:ascii="Arial" w:hAnsi="Arial" w:cs="Arial"/>
          <w:color w:val="auto"/>
        </w:rPr>
        <w:t xml:space="preserve">The methodology for calculating median costs from the submitted toolkits is described in </w:t>
      </w:r>
      <w:r w:rsidRPr="0084182A">
        <w:rPr>
          <w:rFonts w:ascii="Arial" w:hAnsi="Arial" w:cs="Arial"/>
          <w:color w:val="auto"/>
        </w:rPr>
        <w:t xml:space="preserve">Sections </w:t>
      </w:r>
      <w:r w:rsidRPr="00507585">
        <w:rPr>
          <w:rFonts w:ascii="Arial" w:hAnsi="Arial" w:cs="Arial"/>
          <w:color w:val="auto"/>
        </w:rPr>
        <w:t>2.4 to 2.6</w:t>
      </w:r>
      <w:r w:rsidR="006C206C">
        <w:rPr>
          <w:rFonts w:ascii="Arial" w:hAnsi="Arial" w:cs="Arial"/>
          <w:color w:val="auto"/>
        </w:rPr>
        <w:t>.</w:t>
      </w:r>
      <w:bookmarkEnd w:id="5"/>
    </w:p>
    <w:p w14:paraId="016E333C" w14:textId="77777777" w:rsidR="00B31F72" w:rsidRPr="0084182A" w:rsidRDefault="00B31F72" w:rsidP="0084182A">
      <w:pPr>
        <w:spacing w:after="0" w:line="280" w:lineRule="exact"/>
        <w:rPr>
          <w:rFonts w:ascii="Arial" w:hAnsi="Arial" w:cs="Arial"/>
          <w:color w:val="auto"/>
        </w:rPr>
      </w:pPr>
    </w:p>
    <w:p w14:paraId="2447DE86" w14:textId="77777777" w:rsidR="00995855" w:rsidRPr="0084182A" w:rsidRDefault="00995855" w:rsidP="0084182A">
      <w:pPr>
        <w:tabs>
          <w:tab w:val="num" w:pos="0"/>
          <w:tab w:val="right" w:pos="9071"/>
        </w:tabs>
        <w:suppressAutoHyphens/>
        <w:spacing w:after="0" w:line="280" w:lineRule="exact"/>
        <w:outlineLvl w:val="1"/>
        <w:rPr>
          <w:rFonts w:ascii="Arial" w:eastAsia="Times New Roman" w:hAnsi="Arial" w:cs="Arial"/>
          <w:color w:val="auto"/>
          <w:lang w:eastAsia="en-GB"/>
        </w:rPr>
      </w:pPr>
      <w:bookmarkStart w:id="6" w:name="_Toc114240146"/>
      <w:r w:rsidRPr="0084182A">
        <w:rPr>
          <w:rFonts w:ascii="Arial" w:eastAsia="Times New Roman" w:hAnsi="Arial" w:cs="Arial"/>
          <w:color w:val="auto"/>
          <w:lang w:eastAsia="en-GB"/>
        </w:rPr>
        <w:t>1.4 Sensitivity analysis</w:t>
      </w:r>
      <w:bookmarkEnd w:id="6"/>
    </w:p>
    <w:p w14:paraId="74308D1A" w14:textId="77777777" w:rsidR="00995855" w:rsidRPr="00995855" w:rsidRDefault="00995855" w:rsidP="0084182A">
      <w:pPr>
        <w:spacing w:after="0" w:line="280" w:lineRule="exact"/>
        <w:rPr>
          <w:rFonts w:ascii="Arial" w:hAnsi="Arial" w:cs="Arial"/>
        </w:rPr>
      </w:pPr>
    </w:p>
    <w:p w14:paraId="3E8ACA79" w14:textId="77777777" w:rsidR="00DF5EC3" w:rsidRPr="00BF0C19" w:rsidRDefault="00DF5EC3" w:rsidP="00BF0C19">
      <w:pPr>
        <w:rPr>
          <w:rFonts w:ascii="Arial" w:hAnsi="Arial" w:cs="Arial"/>
          <w:color w:val="auto"/>
        </w:rPr>
      </w:pPr>
      <w:bookmarkStart w:id="7" w:name="_Hlk116049791"/>
      <w:r w:rsidRPr="00BF0C19">
        <w:rPr>
          <w:rFonts w:ascii="Arial" w:hAnsi="Arial" w:cs="Arial"/>
          <w:color w:val="auto"/>
        </w:rPr>
        <w:t xml:space="preserve">The median total costs summarised in Table 1 and broken down by cost line in </w:t>
      </w:r>
      <w:r w:rsidRPr="00507585">
        <w:rPr>
          <w:rFonts w:ascii="Arial" w:hAnsi="Arial" w:cs="Arial"/>
          <w:color w:val="auto"/>
        </w:rPr>
        <w:t>Table 4</w:t>
      </w:r>
      <w:r w:rsidRPr="00BF0C19">
        <w:rPr>
          <w:rFonts w:ascii="Arial" w:hAnsi="Arial" w:cs="Arial"/>
          <w:color w:val="auto"/>
        </w:rPr>
        <w:t xml:space="preserve"> are sensitive to the following factors, see </w:t>
      </w:r>
      <w:r w:rsidRPr="00507585">
        <w:rPr>
          <w:rFonts w:ascii="Arial" w:hAnsi="Arial" w:cs="Arial"/>
          <w:color w:val="auto"/>
        </w:rPr>
        <w:t>Section 2.11:</w:t>
      </w:r>
    </w:p>
    <w:bookmarkEnd w:id="7"/>
    <w:p w14:paraId="6D864F68" w14:textId="2F1908D9" w:rsidR="00DF5EC3" w:rsidRPr="00DF5EC3" w:rsidRDefault="00DF5EC3" w:rsidP="00EC7E75">
      <w:pPr>
        <w:pStyle w:val="ListParagraph"/>
        <w:numPr>
          <w:ilvl w:val="0"/>
          <w:numId w:val="13"/>
        </w:numPr>
        <w:rPr>
          <w:rFonts w:ascii="Arial" w:hAnsi="Arial" w:cs="Arial"/>
          <w:color w:val="auto"/>
        </w:rPr>
      </w:pPr>
      <w:r w:rsidRPr="00DF5EC3">
        <w:rPr>
          <w:rFonts w:ascii="Arial" w:hAnsi="Arial" w:cs="Arial"/>
          <w:color w:val="auto"/>
        </w:rPr>
        <w:t>The efficacy of the validation process in eliminating implausible and incorrect toolkit submissions for individual cost lines;</w:t>
      </w:r>
    </w:p>
    <w:p w14:paraId="54A1459C" w14:textId="231F71ED" w:rsidR="00DF5EC3" w:rsidRPr="00DF5EC3" w:rsidRDefault="00DF5EC3" w:rsidP="00EC7E75">
      <w:pPr>
        <w:pStyle w:val="ListParagraph"/>
        <w:numPr>
          <w:ilvl w:val="0"/>
          <w:numId w:val="13"/>
        </w:numPr>
        <w:rPr>
          <w:rFonts w:ascii="Arial" w:hAnsi="Arial" w:cs="Arial"/>
          <w:color w:val="auto"/>
        </w:rPr>
      </w:pPr>
      <w:r w:rsidRPr="00DF5EC3">
        <w:rPr>
          <w:rFonts w:ascii="Arial" w:hAnsi="Arial" w:cs="Arial"/>
          <w:color w:val="auto"/>
        </w:rPr>
        <w:t>The validity of the rules adopted for elimination of outliers before calculating the medians for each cost line;</w:t>
      </w:r>
    </w:p>
    <w:p w14:paraId="49F86330" w14:textId="41545A61" w:rsidR="00DF5EC3" w:rsidRPr="00DF5EC3" w:rsidRDefault="00DF5EC3" w:rsidP="00EC7E75">
      <w:pPr>
        <w:pStyle w:val="ListParagraph"/>
        <w:numPr>
          <w:ilvl w:val="0"/>
          <w:numId w:val="13"/>
        </w:numPr>
        <w:rPr>
          <w:rFonts w:ascii="Arial" w:hAnsi="Arial" w:cs="Arial"/>
          <w:color w:val="auto"/>
        </w:rPr>
      </w:pPr>
      <w:r w:rsidRPr="00DF5EC3">
        <w:rPr>
          <w:rFonts w:ascii="Arial" w:hAnsi="Arial" w:cs="Arial"/>
          <w:color w:val="auto"/>
        </w:rPr>
        <w:t>The return on capital and return on operations benchmarks;</w:t>
      </w:r>
    </w:p>
    <w:p w14:paraId="59020965" w14:textId="3BAF39F5" w:rsidR="00DF5EC3" w:rsidRPr="00DF5EC3" w:rsidRDefault="00DF5EC3" w:rsidP="00EC7E75">
      <w:pPr>
        <w:pStyle w:val="ListParagraph"/>
        <w:numPr>
          <w:ilvl w:val="0"/>
          <w:numId w:val="13"/>
        </w:numPr>
        <w:rPr>
          <w:rFonts w:ascii="Arial" w:hAnsi="Arial" w:cs="Arial"/>
          <w:color w:val="auto"/>
        </w:rPr>
      </w:pPr>
      <w:r w:rsidRPr="00DF5EC3">
        <w:rPr>
          <w:rFonts w:ascii="Arial" w:hAnsi="Arial" w:cs="Arial"/>
          <w:color w:val="auto"/>
        </w:rPr>
        <w:t>Calculation of capital cost per occupied bed, to which the return on capital benchmark is applied;</w:t>
      </w:r>
    </w:p>
    <w:p w14:paraId="3E2F432E" w14:textId="5EFDD960" w:rsidR="00DF5EC3" w:rsidRPr="00DF5EC3" w:rsidRDefault="00DF5EC3" w:rsidP="00EC7E75">
      <w:pPr>
        <w:pStyle w:val="ListParagraph"/>
        <w:numPr>
          <w:ilvl w:val="0"/>
          <w:numId w:val="13"/>
        </w:numPr>
        <w:rPr>
          <w:rFonts w:ascii="Arial" w:hAnsi="Arial" w:cs="Arial"/>
          <w:color w:val="auto"/>
        </w:rPr>
      </w:pPr>
      <w:r w:rsidRPr="00DF5EC3">
        <w:rPr>
          <w:rFonts w:ascii="Arial" w:hAnsi="Arial" w:cs="Arial"/>
          <w:color w:val="auto"/>
        </w:rPr>
        <w:t>Adjustment for occupancy</w:t>
      </w:r>
      <w:r w:rsidR="00010DB4">
        <w:rPr>
          <w:rFonts w:ascii="Arial" w:hAnsi="Arial" w:cs="Arial"/>
          <w:color w:val="auto"/>
        </w:rPr>
        <w:t>;</w:t>
      </w:r>
      <w:r w:rsidRPr="00DF5EC3">
        <w:rPr>
          <w:rFonts w:ascii="Arial" w:hAnsi="Arial" w:cs="Arial"/>
          <w:color w:val="auto"/>
        </w:rPr>
        <w:t xml:space="preserve"> </w:t>
      </w:r>
    </w:p>
    <w:p w14:paraId="227D4123" w14:textId="77777777" w:rsidR="00512A55" w:rsidRDefault="00DF5EC3" w:rsidP="00512A55">
      <w:pPr>
        <w:pStyle w:val="ListParagraph"/>
        <w:numPr>
          <w:ilvl w:val="0"/>
          <w:numId w:val="13"/>
        </w:numPr>
        <w:rPr>
          <w:rFonts w:ascii="Arial" w:hAnsi="Arial" w:cs="Arial"/>
          <w:color w:val="auto"/>
        </w:rPr>
      </w:pPr>
      <w:r w:rsidRPr="00DF5EC3">
        <w:rPr>
          <w:rFonts w:ascii="Arial" w:hAnsi="Arial" w:cs="Arial"/>
          <w:color w:val="auto"/>
        </w:rPr>
        <w:t>The approach to calculating confidence intervals for the median total costs; and</w:t>
      </w:r>
    </w:p>
    <w:p w14:paraId="12E07D2A" w14:textId="645F8C50" w:rsidR="00995855" w:rsidRPr="00512A55" w:rsidRDefault="00DF5EC3" w:rsidP="00512A55">
      <w:pPr>
        <w:pStyle w:val="ListParagraph"/>
        <w:numPr>
          <w:ilvl w:val="0"/>
          <w:numId w:val="13"/>
        </w:numPr>
        <w:rPr>
          <w:rFonts w:ascii="Arial" w:hAnsi="Arial" w:cs="Arial"/>
          <w:color w:val="auto"/>
        </w:rPr>
      </w:pPr>
      <w:r w:rsidRPr="00512A55">
        <w:rPr>
          <w:rFonts w:ascii="Arial" w:hAnsi="Arial" w:cs="Arial"/>
          <w:color w:val="auto"/>
        </w:rPr>
        <w:t>Special local factors</w:t>
      </w:r>
      <w:r w:rsidR="00010DB4">
        <w:rPr>
          <w:rFonts w:ascii="Arial" w:hAnsi="Arial" w:cs="Arial"/>
          <w:color w:val="auto"/>
        </w:rPr>
        <w:t>;</w:t>
      </w:r>
      <w:r w:rsidRPr="00512A55">
        <w:rPr>
          <w:rFonts w:ascii="Arial" w:hAnsi="Arial" w:cs="Arial"/>
          <w:color w:val="auto"/>
        </w:rPr>
        <w:t xml:space="preserve"> </w:t>
      </w:r>
    </w:p>
    <w:p w14:paraId="2EFC9E2D" w14:textId="0A21EF0D" w:rsidR="00DF5EC3" w:rsidRPr="005C1D9F" w:rsidRDefault="00DF5EC3" w:rsidP="00DF5EC3">
      <w:pPr>
        <w:rPr>
          <w:rFonts w:ascii="Arial" w:hAnsi="Arial" w:cs="Arial"/>
          <w:color w:val="auto"/>
        </w:rPr>
      </w:pPr>
    </w:p>
    <w:p w14:paraId="6F08762B" w14:textId="5B67A286" w:rsidR="005C1D9F" w:rsidRPr="005C1D9F" w:rsidRDefault="005C1D9F" w:rsidP="005C1D9F">
      <w:pPr>
        <w:rPr>
          <w:rFonts w:ascii="Arial" w:hAnsi="Arial" w:cs="Arial"/>
          <w:color w:val="auto"/>
        </w:rPr>
      </w:pPr>
      <w:r w:rsidRPr="005C1D9F">
        <w:rPr>
          <w:rFonts w:ascii="Arial" w:hAnsi="Arial" w:cs="Arial"/>
          <w:color w:val="auto"/>
        </w:rPr>
        <w:t>1.</w:t>
      </w:r>
      <w:r>
        <w:rPr>
          <w:rFonts w:ascii="Arial" w:hAnsi="Arial" w:cs="Arial"/>
          <w:color w:val="auto"/>
        </w:rPr>
        <w:t>5</w:t>
      </w:r>
      <w:r w:rsidRPr="005C1D9F">
        <w:rPr>
          <w:rFonts w:ascii="Arial" w:hAnsi="Arial" w:cs="Arial"/>
          <w:color w:val="auto"/>
        </w:rPr>
        <w:t xml:space="preserve"> Special local factors</w:t>
      </w:r>
    </w:p>
    <w:p w14:paraId="2220FBE9" w14:textId="3C917BD1" w:rsidR="005C1D9F" w:rsidRDefault="005C1D9F" w:rsidP="00610FD0">
      <w:pPr>
        <w:jc w:val="both"/>
        <w:rPr>
          <w:rFonts w:ascii="Arial" w:hAnsi="Arial" w:cs="Arial"/>
          <w:color w:val="auto"/>
        </w:rPr>
      </w:pPr>
      <w:r w:rsidRPr="005C1D9F">
        <w:rPr>
          <w:rFonts w:ascii="Arial" w:hAnsi="Arial" w:cs="Arial"/>
          <w:color w:val="auto"/>
        </w:rPr>
        <w:t>The existence of several very high specification</w:t>
      </w:r>
      <w:r w:rsidR="00010DB4">
        <w:rPr>
          <w:rFonts w:ascii="Arial" w:hAnsi="Arial" w:cs="Arial"/>
          <w:color w:val="auto"/>
        </w:rPr>
        <w:t xml:space="preserve"> accommodation in</w:t>
      </w:r>
      <w:r w:rsidRPr="005C1D9F">
        <w:rPr>
          <w:rFonts w:ascii="Arial" w:hAnsi="Arial" w:cs="Arial"/>
          <w:color w:val="auto"/>
        </w:rPr>
        <w:t xml:space="preserve"> care homes serving an affluent population is a special feature of the Oxfordshire market which justifies variation of the analytical approach adopted for other councils that LaingBuisson has supported in the national </w:t>
      </w:r>
      <w:r w:rsidR="0029380F">
        <w:rPr>
          <w:rFonts w:ascii="Arial" w:hAnsi="Arial" w:cs="Arial"/>
          <w:color w:val="auto"/>
        </w:rPr>
        <w:t>CoC</w:t>
      </w:r>
      <w:r w:rsidRPr="005C1D9F">
        <w:rPr>
          <w:rFonts w:ascii="Arial" w:hAnsi="Arial" w:cs="Arial"/>
          <w:color w:val="auto"/>
        </w:rPr>
        <w:t xml:space="preserve"> exercise. This takes the form of a cap on the capital cost of care homes, which is taken into account when calculating a reasonable return on assets, see Section </w:t>
      </w:r>
      <w:r w:rsidRPr="00FD6C66">
        <w:rPr>
          <w:rFonts w:ascii="Arial" w:hAnsi="Arial" w:cs="Arial"/>
          <w:color w:val="auto"/>
        </w:rPr>
        <w:t>2.11.1.</w:t>
      </w:r>
    </w:p>
    <w:p w14:paraId="2530197A" w14:textId="77777777" w:rsidR="00FA2DDA" w:rsidRPr="005C1D9F" w:rsidRDefault="00FA2DDA" w:rsidP="00FA2DDA">
      <w:pPr>
        <w:spacing w:after="0"/>
        <w:rPr>
          <w:rFonts w:ascii="Arial" w:hAnsi="Arial" w:cs="Arial"/>
          <w:color w:val="auto"/>
        </w:rPr>
      </w:pPr>
    </w:p>
    <w:p w14:paraId="492E65C9" w14:textId="3447C809" w:rsidR="00995855" w:rsidRPr="006C206C" w:rsidRDefault="00995855" w:rsidP="00EC7E75">
      <w:pPr>
        <w:keepNext/>
        <w:numPr>
          <w:ilvl w:val="0"/>
          <w:numId w:val="3"/>
        </w:numPr>
        <w:suppressAutoHyphens/>
        <w:spacing w:after="0" w:line="280" w:lineRule="exact"/>
        <w:ind w:left="426" w:hanging="426"/>
        <w:jc w:val="both"/>
        <w:outlineLvl w:val="0"/>
        <w:rPr>
          <w:rFonts w:ascii="Arial" w:eastAsia="Times New Roman" w:hAnsi="Arial" w:cs="Arial"/>
          <w:b/>
          <w:bCs/>
          <w:color w:val="auto"/>
          <w:lang w:eastAsia="en-GB"/>
        </w:rPr>
      </w:pPr>
      <w:bookmarkStart w:id="8" w:name="_Toc114240148"/>
      <w:r w:rsidRPr="006C206C">
        <w:rPr>
          <w:rFonts w:ascii="Arial" w:eastAsia="Times New Roman" w:hAnsi="Arial" w:cs="Arial"/>
          <w:b/>
          <w:bCs/>
          <w:color w:val="auto"/>
          <w:lang w:eastAsia="en-GB"/>
        </w:rPr>
        <w:t xml:space="preserve"> COST OF CARE RESULTS FOR SUBMISSION TO DHSC</w:t>
      </w:r>
      <w:bookmarkEnd w:id="8"/>
    </w:p>
    <w:p w14:paraId="1403AC56" w14:textId="77777777" w:rsidR="00995855" w:rsidRPr="0084182A" w:rsidRDefault="00995855" w:rsidP="006C206C">
      <w:pPr>
        <w:spacing w:after="0"/>
        <w:rPr>
          <w:rFonts w:ascii="Arial" w:hAnsi="Arial" w:cs="Arial"/>
          <w:color w:val="auto"/>
        </w:rPr>
      </w:pPr>
    </w:p>
    <w:p w14:paraId="6BF70A53"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9" w:name="_Toc114240149"/>
      <w:r w:rsidRPr="0084182A">
        <w:rPr>
          <w:rFonts w:ascii="Arial" w:eastAsia="Times New Roman" w:hAnsi="Arial" w:cs="Arial"/>
          <w:color w:val="auto"/>
          <w:lang w:eastAsia="en-GB"/>
        </w:rPr>
        <w:t>2.1 The IESE toolkit</w:t>
      </w:r>
      <w:bookmarkEnd w:id="9"/>
    </w:p>
    <w:p w14:paraId="7F53FCFF" w14:textId="77777777" w:rsidR="00995855" w:rsidRPr="00995855" w:rsidRDefault="00995855" w:rsidP="00995855">
      <w:pPr>
        <w:suppressAutoHyphens/>
        <w:spacing w:after="0" w:line="240" w:lineRule="auto"/>
        <w:ind w:left="720"/>
        <w:rPr>
          <w:rFonts w:ascii="Arial" w:eastAsia="Times New Roman" w:hAnsi="Arial" w:cs="Arial"/>
          <w:lang w:eastAsia="en-GB"/>
        </w:rPr>
      </w:pPr>
    </w:p>
    <w:p w14:paraId="541DC3BD" w14:textId="0C59CB81"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Oxfordshire County Council</w:t>
      </w:r>
      <w:r w:rsidR="00B94D3E">
        <w:rPr>
          <w:rFonts w:ascii="Arial" w:hAnsi="Arial" w:cs="Arial"/>
          <w:color w:val="auto"/>
          <w:lang w:eastAsia="en-GB"/>
        </w:rPr>
        <w:t xml:space="preserve"> </w:t>
      </w:r>
      <w:r w:rsidRPr="00995855">
        <w:rPr>
          <w:rFonts w:ascii="Arial" w:hAnsi="Arial" w:cs="Arial"/>
          <w:color w:val="auto"/>
          <w:lang w:eastAsia="en-GB"/>
        </w:rPr>
        <w:t xml:space="preserve">registered with the IESE CareCubed portal to use their toolkit, with comprehensive support, as recommended by the Local Government Association and DHSC. The CareCubed platform takes the form of a multi-page survey seeking general information about the care home to which a submission refers, general expenditure, return on operations and return on capital, occupancy rates, staffing hours, and direct staffing costs. </w:t>
      </w:r>
    </w:p>
    <w:p w14:paraId="14EB024E" w14:textId="77777777" w:rsidR="00995855" w:rsidRPr="00995855" w:rsidRDefault="00995855" w:rsidP="00995855">
      <w:pPr>
        <w:spacing w:after="0" w:line="280" w:lineRule="exact"/>
        <w:jc w:val="both"/>
        <w:rPr>
          <w:rFonts w:ascii="Arial" w:hAnsi="Arial" w:cs="Arial"/>
          <w:lang w:eastAsia="en-GB"/>
        </w:rPr>
      </w:pPr>
    </w:p>
    <w:p w14:paraId="16C4193E"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10" w:name="_Toc114240150"/>
      <w:r w:rsidRPr="0084182A">
        <w:rPr>
          <w:rFonts w:ascii="Arial" w:eastAsia="Times New Roman" w:hAnsi="Arial" w:cs="Arial"/>
          <w:color w:val="auto"/>
          <w:lang w:eastAsia="en-GB"/>
        </w:rPr>
        <w:t>2.2 Services in scope</w:t>
      </w:r>
      <w:bookmarkEnd w:id="10"/>
    </w:p>
    <w:p w14:paraId="7C092E1F" w14:textId="77777777" w:rsidR="00995855" w:rsidRPr="00995855" w:rsidRDefault="00995855" w:rsidP="0084182A">
      <w:pPr>
        <w:spacing w:after="0"/>
        <w:rPr>
          <w:rFonts w:ascii="Arial" w:hAnsi="Arial" w:cs="Arial"/>
          <w:lang w:eastAsia="en-GB"/>
        </w:rPr>
      </w:pPr>
    </w:p>
    <w:p w14:paraId="073B49DC" w14:textId="404B4A89"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 xml:space="preserve">There were </w:t>
      </w:r>
      <w:r w:rsidRPr="00507585">
        <w:rPr>
          <w:rFonts w:ascii="Arial" w:hAnsi="Arial" w:cs="Arial"/>
          <w:color w:val="auto"/>
          <w:lang w:eastAsia="en-GB"/>
        </w:rPr>
        <w:t>1</w:t>
      </w:r>
      <w:r w:rsidR="00BF0C19" w:rsidRPr="00507585">
        <w:rPr>
          <w:rFonts w:ascii="Arial" w:hAnsi="Arial" w:cs="Arial"/>
          <w:color w:val="auto"/>
          <w:lang w:eastAsia="en-GB"/>
        </w:rPr>
        <w:t>11</w:t>
      </w:r>
      <w:r w:rsidR="00B75F2E">
        <w:rPr>
          <w:rFonts w:ascii="Arial" w:hAnsi="Arial" w:cs="Arial"/>
          <w:color w:val="auto"/>
          <w:lang w:eastAsia="en-GB"/>
        </w:rPr>
        <w:t xml:space="preserve"> </w:t>
      </w:r>
      <w:r w:rsidRPr="00995855">
        <w:rPr>
          <w:rFonts w:ascii="Arial" w:hAnsi="Arial" w:cs="Arial"/>
          <w:color w:val="auto"/>
          <w:lang w:eastAsia="en-GB"/>
        </w:rPr>
        <w:t>registered care homes in scope (predominantly for older people, aged 65+) located within the boundaries of Oxfordshire County Council, after removing homes primarily for younger adults. DHSC guidance states that only older people’s care homes in contact with local authorities are in scope, but since nearly all care older people’s homes have at least one council-</w:t>
      </w:r>
      <w:r w:rsidRPr="00995855">
        <w:rPr>
          <w:rFonts w:ascii="Arial" w:hAnsi="Arial" w:cs="Arial"/>
          <w:color w:val="auto"/>
          <w:lang w:eastAsia="en-GB"/>
        </w:rPr>
        <w:lastRenderedPageBreak/>
        <w:t xml:space="preserve">funded resident, predominantly privately funded homes were interpreted as being in scope as well. </w:t>
      </w:r>
    </w:p>
    <w:p w14:paraId="7FBA2AE9" w14:textId="77777777" w:rsidR="000E13DE" w:rsidRPr="0084182A" w:rsidRDefault="000E13DE" w:rsidP="00995855">
      <w:pPr>
        <w:spacing w:after="0" w:line="280" w:lineRule="exact"/>
        <w:jc w:val="both"/>
        <w:rPr>
          <w:rFonts w:ascii="Arial" w:hAnsi="Arial" w:cs="Arial"/>
          <w:color w:val="auto"/>
          <w:lang w:eastAsia="en-GB"/>
        </w:rPr>
      </w:pPr>
    </w:p>
    <w:p w14:paraId="2C1C0401"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11" w:name="_Toc114240151"/>
      <w:r w:rsidRPr="0084182A">
        <w:rPr>
          <w:rFonts w:ascii="Arial" w:eastAsia="Times New Roman" w:hAnsi="Arial" w:cs="Arial"/>
          <w:color w:val="auto"/>
          <w:lang w:eastAsia="en-GB"/>
        </w:rPr>
        <w:t>2.3 Engagement with providers</w:t>
      </w:r>
      <w:bookmarkEnd w:id="11"/>
    </w:p>
    <w:p w14:paraId="49D25D46" w14:textId="77777777" w:rsidR="00995855" w:rsidRPr="00995855" w:rsidRDefault="00995855" w:rsidP="0084182A">
      <w:pPr>
        <w:spacing w:after="0"/>
        <w:rPr>
          <w:rFonts w:ascii="Arial" w:hAnsi="Arial" w:cs="Arial"/>
          <w:lang w:eastAsia="en-GB"/>
        </w:rPr>
      </w:pPr>
    </w:p>
    <w:p w14:paraId="26512823"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LaingBuisson worked with the council over July and August 2022 to engage with providers through a variety of communication channels, the most important being intensive, direct telephone contact to encourage participation and completion of the toolkit. In addition, support was given to providers who were in process of completing their submissions. Over the course of the project, a total of 306 calls were made to care home providers in Oxfordshire, Validation of completed toolkits, including querying anomalies via CareCubed, took place in parallel.</w:t>
      </w:r>
    </w:p>
    <w:p w14:paraId="07B55C6D" w14:textId="77777777" w:rsidR="00FD6C66" w:rsidRPr="0084182A" w:rsidRDefault="00FD6C66" w:rsidP="006C206C">
      <w:pPr>
        <w:spacing w:after="0" w:line="240" w:lineRule="auto"/>
        <w:jc w:val="both"/>
        <w:rPr>
          <w:rFonts w:ascii="Arial" w:hAnsi="Arial" w:cs="Arial"/>
          <w:color w:val="auto"/>
          <w:lang w:eastAsia="en-GB"/>
        </w:rPr>
      </w:pPr>
    </w:p>
    <w:p w14:paraId="77B64291"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12" w:name="_Toc114240152"/>
      <w:r w:rsidRPr="0084182A">
        <w:rPr>
          <w:rFonts w:ascii="Arial" w:eastAsia="Times New Roman" w:hAnsi="Arial" w:cs="Arial"/>
          <w:color w:val="auto"/>
          <w:lang w:eastAsia="en-GB"/>
        </w:rPr>
        <w:t>2.4 Quality of toolkit submissions</w:t>
      </w:r>
      <w:bookmarkEnd w:id="12"/>
    </w:p>
    <w:p w14:paraId="2624AA3D" w14:textId="77777777" w:rsidR="00995855" w:rsidRPr="00995855" w:rsidRDefault="00995855" w:rsidP="0084182A">
      <w:pPr>
        <w:spacing w:after="0"/>
        <w:rPr>
          <w:rFonts w:ascii="Arial" w:hAnsi="Arial" w:cs="Arial"/>
          <w:lang w:eastAsia="en-GB"/>
        </w:rPr>
      </w:pPr>
    </w:p>
    <w:p w14:paraId="67A3BFD9" w14:textId="1A10A23D" w:rsidR="00995855" w:rsidRPr="00995855" w:rsidRDefault="0084182A" w:rsidP="00995855">
      <w:pPr>
        <w:spacing w:after="0" w:line="280" w:lineRule="exact"/>
        <w:jc w:val="both"/>
        <w:rPr>
          <w:rFonts w:ascii="Arial" w:hAnsi="Arial" w:cs="Arial"/>
          <w:color w:val="auto"/>
          <w:lang w:eastAsia="en-GB"/>
        </w:rPr>
      </w:pPr>
      <w:r w:rsidRPr="00995855">
        <w:rPr>
          <w:rFonts w:ascii="Arial" w:hAnsi="Arial" w:cs="Arial"/>
          <w:color w:val="auto"/>
          <w:lang w:eastAsia="en-GB"/>
        </w:rPr>
        <w:t>Laing Buisson’s</w:t>
      </w:r>
      <w:r w:rsidR="00995855" w:rsidRPr="00995855">
        <w:rPr>
          <w:rFonts w:ascii="Arial" w:hAnsi="Arial" w:cs="Arial"/>
          <w:color w:val="auto"/>
          <w:lang w:eastAsia="en-GB"/>
        </w:rPr>
        <w:t xml:space="preserve"> experience, gained from similar care cost exercises carried out in recent years, is that the quality of submissions is variable. Large corporate groups typically have the resources to submit consistent and reliable numbers, but SMEs and micro-businesses can find it challenging to deal with the volume and complexity of data requested in toolkits and may leave some questions unanswered and incorrectly answer others. Consequently, it is necessary to apply a robust validation process, including querying anomalous submissions with respondents and assisting them to provide the appropriate data.</w:t>
      </w:r>
    </w:p>
    <w:p w14:paraId="518A458A" w14:textId="77777777" w:rsidR="00811DB5" w:rsidRPr="00995855" w:rsidRDefault="00811DB5" w:rsidP="00995855">
      <w:pPr>
        <w:spacing w:after="0" w:line="280" w:lineRule="exact"/>
        <w:jc w:val="both"/>
        <w:rPr>
          <w:rFonts w:ascii="Arial" w:hAnsi="Arial" w:cs="Arial"/>
          <w:lang w:eastAsia="en-GB"/>
        </w:rPr>
      </w:pPr>
    </w:p>
    <w:p w14:paraId="7D997917" w14:textId="77777777" w:rsidR="00995855" w:rsidRPr="0084182A" w:rsidRDefault="00995855" w:rsidP="00995855">
      <w:pPr>
        <w:tabs>
          <w:tab w:val="num" w:pos="0"/>
          <w:tab w:val="right" w:pos="9071"/>
        </w:tabs>
        <w:suppressAutoHyphens/>
        <w:spacing w:after="0" w:line="280" w:lineRule="exact"/>
        <w:ind w:right="-34"/>
        <w:jc w:val="both"/>
        <w:outlineLvl w:val="1"/>
        <w:rPr>
          <w:rFonts w:ascii="Arial" w:eastAsia="Times New Roman" w:hAnsi="Arial" w:cs="Arial"/>
          <w:color w:val="auto"/>
          <w:lang w:eastAsia="en-GB"/>
        </w:rPr>
      </w:pPr>
      <w:bookmarkStart w:id="13" w:name="_Toc114240153"/>
      <w:r w:rsidRPr="0084182A">
        <w:rPr>
          <w:rFonts w:ascii="Arial" w:eastAsia="Times New Roman" w:hAnsi="Arial" w:cs="Arial"/>
          <w:color w:val="auto"/>
          <w:lang w:eastAsia="en-GB"/>
        </w:rPr>
        <w:t>2.5 Validation</w:t>
      </w:r>
      <w:bookmarkEnd w:id="13"/>
    </w:p>
    <w:p w14:paraId="03C75B33" w14:textId="77777777" w:rsidR="00995855" w:rsidRPr="00995855" w:rsidRDefault="00995855" w:rsidP="00995855">
      <w:pPr>
        <w:spacing w:after="0" w:line="280" w:lineRule="exact"/>
        <w:jc w:val="both"/>
        <w:rPr>
          <w:rFonts w:ascii="Arial" w:hAnsi="Arial" w:cs="Arial"/>
          <w:lang w:eastAsia="en-GB"/>
        </w:rPr>
      </w:pPr>
    </w:p>
    <w:p w14:paraId="1202601D"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In the validation process, toolkit submissions were checked by LaingBuisson for sense and consistency and anomalies were amended as necessary with the agreement of providers. Checking of toolkits was conducted individually through a comparison of submissions from similar care homes, and through comparisons between submissions and LaingBuisson’s historic Care Cost Benchmarks dataset</w:t>
      </w:r>
      <w:r w:rsidRPr="00995855">
        <w:rPr>
          <w:rFonts w:ascii="Arial" w:hAnsi="Arial" w:cs="Arial"/>
          <w:color w:val="auto"/>
          <w:vertAlign w:val="superscript"/>
        </w:rPr>
        <w:footnoteReference w:id="3"/>
      </w:r>
      <w:r w:rsidRPr="00995855">
        <w:rPr>
          <w:rFonts w:ascii="Arial" w:hAnsi="Arial" w:cs="Arial"/>
          <w:color w:val="auto"/>
        </w:rPr>
        <w:t>. Toolkit submissions for individual cost lines were queried when they were found to be significantly outside of expected ranges, with particular attention paid to the plausibility of figures which contribute most notably towards total costs - most of which being costs related to staffing.</w:t>
      </w:r>
    </w:p>
    <w:p w14:paraId="002DEEF0" w14:textId="77777777" w:rsidR="00995855" w:rsidRPr="00995855" w:rsidRDefault="00995855" w:rsidP="00995855">
      <w:pPr>
        <w:spacing w:after="0" w:line="280" w:lineRule="exact"/>
        <w:jc w:val="both"/>
        <w:rPr>
          <w:rFonts w:ascii="Arial" w:hAnsi="Arial" w:cs="Arial"/>
          <w:color w:val="auto"/>
        </w:rPr>
      </w:pPr>
    </w:p>
    <w:p w14:paraId="7D341BB7" w14:textId="6BE0BE00"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A facility to query submissions was made available through the </w:t>
      </w:r>
      <w:r w:rsidR="00CB6031">
        <w:rPr>
          <w:rFonts w:ascii="Arial" w:hAnsi="Arial" w:cs="Arial"/>
          <w:color w:val="auto"/>
        </w:rPr>
        <w:t>council’s</w:t>
      </w:r>
      <w:r w:rsidRPr="00995855">
        <w:rPr>
          <w:rFonts w:ascii="Arial" w:hAnsi="Arial" w:cs="Arial"/>
          <w:color w:val="auto"/>
        </w:rPr>
        <w:t xml:space="preserve"> user interface of the Care Cubed platform. This involved the submission of comments on individual figures given by providers. Providers were then notified that their response had been put into a query and were able to see the flagged queries with comments, upon logging into the platform. Changes to submissions were only enabled on the provider side, meaning that any queried anomalies which a provider did not understand or did not attempt to resolve, could not be fully validated through the platform. </w:t>
      </w:r>
    </w:p>
    <w:p w14:paraId="531833F7" w14:textId="77777777" w:rsidR="00995855" w:rsidRPr="00995855" w:rsidRDefault="00995855" w:rsidP="00995855">
      <w:pPr>
        <w:spacing w:after="0" w:line="280" w:lineRule="exact"/>
        <w:jc w:val="both"/>
        <w:rPr>
          <w:rFonts w:ascii="Arial" w:hAnsi="Arial" w:cs="Arial"/>
          <w:color w:val="auto"/>
        </w:rPr>
      </w:pPr>
    </w:p>
    <w:p w14:paraId="628E75F3"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Consequently, even after applying such validation processes as were practicably possible, there remained toolkits with one or more cost lines which were inappropriately null or zero, or which appeared to be outside of reasonable ranges. In most cases, the anomalies related to minor cost </w:t>
      </w:r>
      <w:r w:rsidRPr="00995855">
        <w:rPr>
          <w:rFonts w:ascii="Arial" w:hAnsi="Arial" w:cs="Arial"/>
          <w:color w:val="auto"/>
        </w:rPr>
        <w:lastRenderedPageBreak/>
        <w:t>items, and it was evident that an approach was needed which would optimise the use of fully validated data without discarding toolkits which still contained unvalidated data for some minor cost lines.</w:t>
      </w:r>
    </w:p>
    <w:p w14:paraId="267C8E50" w14:textId="77777777" w:rsidR="006C206C" w:rsidRPr="00995855" w:rsidRDefault="006C206C" w:rsidP="00995855">
      <w:pPr>
        <w:spacing w:after="0" w:line="280" w:lineRule="exact"/>
        <w:jc w:val="both"/>
        <w:rPr>
          <w:rFonts w:ascii="Arial" w:hAnsi="Arial" w:cs="Arial"/>
          <w:color w:val="auto"/>
        </w:rPr>
      </w:pPr>
    </w:p>
    <w:p w14:paraId="2A9F4424" w14:textId="77777777" w:rsidR="00995855" w:rsidRPr="0084182A" w:rsidRDefault="00995855" w:rsidP="00995855">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14" w:name="_Toc114240154"/>
      <w:r w:rsidRPr="0084182A">
        <w:rPr>
          <w:rFonts w:ascii="Arial" w:eastAsia="Times New Roman" w:hAnsi="Arial" w:cs="Arial"/>
          <w:color w:val="auto"/>
          <w:lang w:eastAsia="en-GB"/>
        </w:rPr>
        <w:t>2.6 Incomplete toolkit submissions</w:t>
      </w:r>
      <w:bookmarkEnd w:id="14"/>
    </w:p>
    <w:p w14:paraId="717E3541" w14:textId="77777777" w:rsidR="008534E0" w:rsidRDefault="008534E0" w:rsidP="00995855">
      <w:pPr>
        <w:tabs>
          <w:tab w:val="num" w:pos="0"/>
          <w:tab w:val="right" w:pos="9071"/>
        </w:tabs>
        <w:suppressAutoHyphens/>
        <w:spacing w:after="0" w:line="260" w:lineRule="exact"/>
        <w:ind w:right="-34"/>
        <w:jc w:val="both"/>
        <w:outlineLvl w:val="2"/>
        <w:rPr>
          <w:rFonts w:ascii="Arial" w:hAnsi="Arial" w:cs="Arial"/>
          <w:color w:val="auto"/>
        </w:rPr>
      </w:pPr>
      <w:bookmarkStart w:id="15" w:name="_Toc114240155"/>
    </w:p>
    <w:p w14:paraId="6E0E557F" w14:textId="421317A0" w:rsidR="00995855" w:rsidRPr="0084182A"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r w:rsidRPr="0084182A">
        <w:rPr>
          <w:rFonts w:ascii="Arial" w:eastAsia="Times New Roman" w:hAnsi="Arial" w:cs="Arial"/>
          <w:color w:val="auto"/>
          <w:lang w:eastAsia="en-GB"/>
        </w:rPr>
        <w:t xml:space="preserve">2.6.1 Interpolation </w:t>
      </w:r>
      <w:r w:rsidRPr="0084182A">
        <w:rPr>
          <w:rFonts w:ascii="Arial" w:eastAsia="Times New Roman" w:hAnsi="Arial" w:cs="Arial"/>
          <w:i/>
          <w:iCs/>
          <w:color w:val="auto"/>
          <w:u w:val="single"/>
          <w:lang w:eastAsia="en-GB"/>
        </w:rPr>
        <w:t>vs</w:t>
      </w:r>
      <w:r w:rsidRPr="0084182A">
        <w:rPr>
          <w:rFonts w:ascii="Arial" w:eastAsia="Times New Roman" w:hAnsi="Arial" w:cs="Arial"/>
          <w:color w:val="auto"/>
          <w:lang w:eastAsia="en-GB"/>
        </w:rPr>
        <w:t xml:space="preserve"> outlier exclusion</w:t>
      </w:r>
      <w:bookmarkEnd w:id="15"/>
    </w:p>
    <w:p w14:paraId="36F2EA77" w14:textId="77777777" w:rsidR="00995855" w:rsidRPr="00995855" w:rsidRDefault="00995855" w:rsidP="00995855">
      <w:pPr>
        <w:spacing w:after="0" w:line="280" w:lineRule="atLeast"/>
        <w:jc w:val="both"/>
        <w:rPr>
          <w:rFonts w:ascii="Arial" w:hAnsi="Arial" w:cs="Arial"/>
        </w:rPr>
      </w:pPr>
    </w:p>
    <w:p w14:paraId="20199E7D" w14:textId="3A5DFEAE" w:rsidR="00995855" w:rsidRPr="00995855" w:rsidRDefault="00CB6031" w:rsidP="00995855">
      <w:pPr>
        <w:spacing w:after="0" w:line="280" w:lineRule="atLeast"/>
        <w:jc w:val="both"/>
        <w:rPr>
          <w:rFonts w:ascii="Arial" w:hAnsi="Arial" w:cs="Arial"/>
          <w:color w:val="auto"/>
        </w:rPr>
      </w:pPr>
      <w:r>
        <w:rPr>
          <w:rFonts w:ascii="Arial" w:hAnsi="Arial" w:cs="Arial"/>
          <w:color w:val="auto"/>
        </w:rPr>
        <w:t>LaingBuisson applied</w:t>
      </w:r>
      <w:r w:rsidR="00995855" w:rsidRPr="00995855">
        <w:rPr>
          <w:rFonts w:ascii="Arial" w:hAnsi="Arial" w:cs="Arial"/>
          <w:color w:val="auto"/>
        </w:rPr>
        <w:t xml:space="preserve"> two approaches to optimising value from survey results where, even after a robust validation process, some cost lines in any given toolkit submission may be zero or empty (null), and some may be outside a reasonable range:</w:t>
      </w:r>
    </w:p>
    <w:p w14:paraId="11E1F149" w14:textId="77777777" w:rsidR="00995855" w:rsidRPr="00995855" w:rsidRDefault="00995855" w:rsidP="00995855">
      <w:pPr>
        <w:spacing w:after="0" w:line="280" w:lineRule="atLeast"/>
        <w:jc w:val="both"/>
        <w:rPr>
          <w:rFonts w:ascii="Arial" w:hAnsi="Arial" w:cs="Arial"/>
        </w:rPr>
      </w:pPr>
    </w:p>
    <w:p w14:paraId="23F24920" w14:textId="430038D2" w:rsidR="00995855" w:rsidRPr="00995855" w:rsidRDefault="00995855" w:rsidP="00EC7E75">
      <w:pPr>
        <w:numPr>
          <w:ilvl w:val="0"/>
          <w:numId w:val="1"/>
        </w:numPr>
        <w:suppressAutoHyphens/>
        <w:spacing w:after="0" w:line="280" w:lineRule="atLeast"/>
        <w:jc w:val="both"/>
        <w:rPr>
          <w:rFonts w:ascii="Arial" w:eastAsia="Times New Roman" w:hAnsi="Arial" w:cs="Arial"/>
          <w:color w:val="auto"/>
          <w:lang w:eastAsia="en-GB"/>
        </w:rPr>
      </w:pPr>
      <w:r w:rsidRPr="00995855">
        <w:rPr>
          <w:rFonts w:ascii="Arial" w:eastAsia="Times New Roman" w:hAnsi="Arial" w:cs="Arial"/>
          <w:b/>
          <w:bCs/>
          <w:color w:val="auto"/>
          <w:lang w:eastAsia="en-GB"/>
        </w:rPr>
        <w:t>Interpolation</w:t>
      </w:r>
      <w:r w:rsidRPr="00995855">
        <w:rPr>
          <w:rFonts w:ascii="Arial" w:eastAsia="Times New Roman" w:hAnsi="Arial" w:cs="Arial"/>
          <w:color w:val="auto"/>
          <w:lang w:eastAsia="en-GB"/>
        </w:rPr>
        <w:t xml:space="preserve"> </w:t>
      </w:r>
      <w:r w:rsidR="00CB6031">
        <w:rPr>
          <w:rFonts w:ascii="Arial" w:eastAsia="Times New Roman" w:hAnsi="Arial" w:cs="Arial"/>
          <w:color w:val="auto"/>
          <w:lang w:eastAsia="en-GB"/>
        </w:rPr>
        <w:t>was</w:t>
      </w:r>
      <w:r w:rsidR="00CB6031" w:rsidRPr="00995855">
        <w:rPr>
          <w:rFonts w:ascii="Arial" w:eastAsia="Times New Roman" w:hAnsi="Arial" w:cs="Arial"/>
          <w:color w:val="auto"/>
          <w:lang w:eastAsia="en-GB"/>
        </w:rPr>
        <w:t xml:space="preserve"> </w:t>
      </w:r>
      <w:r w:rsidRPr="00995855">
        <w:rPr>
          <w:rFonts w:ascii="Arial" w:eastAsia="Times New Roman" w:hAnsi="Arial" w:cs="Arial"/>
          <w:color w:val="auto"/>
          <w:lang w:eastAsia="en-GB"/>
        </w:rPr>
        <w:t>one approach, in which null, zero or extreme outlier data for any individual cost line in any given toolkit submission is substituted by the median (or mean) value among those toolkits that submitted valid, in range data for that cost line. By this means, otherwise valid toolkits can avoid being discarded due to the absence of minor cost items. In this approach it is reasonable to interpolate values for minor cost lines, though not for major cost lines, such as staffing costs, which are major drivers of total costs; Interpolation maximises the number of valid toolkit responses, from which the median numbers for each individual cost line, as well as the median total cost for all validated toolkits can be calculated.  A downside of the interpolation approach, however, is that the nature of medians (the DHSC’s preferred measure of central tendency) means that the individual cost line medians do not add to the subtotal medians and the subtotal medians do not add to the total cost median.</w:t>
      </w:r>
    </w:p>
    <w:p w14:paraId="20EC0EAB" w14:textId="77777777" w:rsidR="00995855" w:rsidRPr="00995855" w:rsidRDefault="00995855" w:rsidP="00995855">
      <w:pPr>
        <w:suppressAutoHyphens/>
        <w:spacing w:after="0" w:line="280" w:lineRule="atLeast"/>
        <w:ind w:left="720"/>
        <w:jc w:val="both"/>
        <w:rPr>
          <w:rFonts w:ascii="Arial" w:eastAsia="Times New Roman" w:hAnsi="Arial" w:cs="Arial"/>
          <w:color w:val="auto"/>
          <w:lang w:eastAsia="en-GB"/>
        </w:rPr>
      </w:pPr>
    </w:p>
    <w:p w14:paraId="1AFB78E3" w14:textId="4E26FEC5" w:rsidR="00995855" w:rsidRPr="00995855" w:rsidRDefault="00995855" w:rsidP="00EC7E75">
      <w:pPr>
        <w:numPr>
          <w:ilvl w:val="0"/>
          <w:numId w:val="1"/>
        </w:numPr>
        <w:suppressAutoHyphens/>
        <w:spacing w:after="0" w:line="280" w:lineRule="atLeast"/>
        <w:jc w:val="both"/>
        <w:rPr>
          <w:rFonts w:ascii="Arial" w:eastAsia="Times New Roman" w:hAnsi="Arial" w:cs="Arial"/>
          <w:color w:val="auto"/>
          <w:lang w:eastAsia="en-GB"/>
        </w:rPr>
      </w:pPr>
      <w:r w:rsidRPr="00995855">
        <w:rPr>
          <w:rFonts w:ascii="Arial" w:eastAsia="Times New Roman" w:hAnsi="Arial" w:cs="Arial"/>
          <w:b/>
          <w:bCs/>
          <w:color w:val="auto"/>
          <w:lang w:eastAsia="en-GB"/>
        </w:rPr>
        <w:t xml:space="preserve">Outlier exclusion </w:t>
      </w:r>
      <w:r w:rsidR="00CB6031">
        <w:rPr>
          <w:rFonts w:ascii="Arial" w:eastAsia="Times New Roman" w:hAnsi="Arial" w:cs="Arial"/>
          <w:color w:val="auto"/>
          <w:lang w:eastAsia="en-GB"/>
        </w:rPr>
        <w:t>was</w:t>
      </w:r>
      <w:r w:rsidR="00CB6031" w:rsidRPr="00995855">
        <w:rPr>
          <w:rFonts w:ascii="Arial" w:eastAsia="Times New Roman" w:hAnsi="Arial" w:cs="Arial"/>
          <w:color w:val="auto"/>
          <w:lang w:eastAsia="en-GB"/>
        </w:rPr>
        <w:t xml:space="preserve"> </w:t>
      </w:r>
      <w:r w:rsidRPr="00995855">
        <w:rPr>
          <w:rFonts w:ascii="Arial" w:eastAsia="Times New Roman" w:hAnsi="Arial" w:cs="Arial"/>
          <w:color w:val="auto"/>
          <w:lang w:eastAsia="en-GB"/>
        </w:rPr>
        <w:t xml:space="preserve">another approach, in which median values are calculated separately for each cost line, using all submitted toolkits where that particular cost line was validated, and excluding all ‘outliers’ whether they be null or zero values or outside a defined range. The full output required by DHSC can then be built up from individual cost line medians. A </w:t>
      </w:r>
      <w:r w:rsidR="00FD0792" w:rsidRPr="00995855">
        <w:rPr>
          <w:rFonts w:ascii="Arial" w:eastAsia="Times New Roman" w:hAnsi="Arial" w:cs="Arial"/>
          <w:color w:val="auto"/>
          <w:lang w:eastAsia="en-GB"/>
        </w:rPr>
        <w:t>b</w:t>
      </w:r>
      <w:r w:rsidR="00FD0792">
        <w:rPr>
          <w:rFonts w:ascii="Arial" w:eastAsia="Times New Roman" w:hAnsi="Arial" w:cs="Arial"/>
          <w:color w:val="auto"/>
          <w:lang w:eastAsia="en-GB"/>
        </w:rPr>
        <w:t>enefit of</w:t>
      </w:r>
      <w:r w:rsidRPr="00995855">
        <w:rPr>
          <w:rFonts w:ascii="Arial" w:eastAsia="Times New Roman" w:hAnsi="Arial" w:cs="Arial"/>
          <w:color w:val="auto"/>
          <w:lang w:eastAsia="en-GB"/>
        </w:rPr>
        <w:t xml:space="preserve"> this method is that each of the four median total costs required by DHSC (for residential, residential enhanced, nursing and nursing enhanced care) are equal to the sum of the median subtotals and the median subtotals are equal to the sums of the relevant individual cost lines.</w:t>
      </w:r>
    </w:p>
    <w:p w14:paraId="3C5949DF" w14:textId="77777777" w:rsidR="00995855" w:rsidRPr="00995855" w:rsidRDefault="00995855" w:rsidP="00995855">
      <w:pPr>
        <w:suppressAutoHyphens/>
        <w:spacing w:after="0" w:line="280" w:lineRule="atLeast"/>
        <w:ind w:left="720"/>
        <w:rPr>
          <w:rFonts w:ascii="Arial" w:eastAsia="Times New Roman" w:hAnsi="Arial" w:cs="Arial"/>
          <w:color w:val="auto"/>
          <w:lang w:eastAsia="en-GB"/>
        </w:rPr>
      </w:pPr>
    </w:p>
    <w:p w14:paraId="4873CCB3" w14:textId="5778B1F8" w:rsidR="00995855" w:rsidRPr="00995855" w:rsidRDefault="009917FD" w:rsidP="008534E0">
      <w:pPr>
        <w:spacing w:line="280" w:lineRule="atLeast"/>
        <w:rPr>
          <w:rFonts w:ascii="Arial" w:hAnsi="Arial" w:cs="Arial"/>
          <w:color w:val="auto"/>
        </w:rPr>
      </w:pPr>
      <w:r>
        <w:rPr>
          <w:rFonts w:ascii="Arial" w:hAnsi="Arial" w:cs="Arial"/>
          <w:color w:val="auto"/>
        </w:rPr>
        <w:t>LaingBuisson</w:t>
      </w:r>
      <w:r w:rsidR="00995855" w:rsidRPr="00995855">
        <w:rPr>
          <w:rFonts w:ascii="Arial" w:hAnsi="Arial" w:cs="Arial"/>
          <w:color w:val="auto"/>
        </w:rPr>
        <w:t xml:space="preserve"> opted to use the </w:t>
      </w:r>
      <w:r w:rsidR="00995855" w:rsidRPr="00995855">
        <w:rPr>
          <w:rFonts w:ascii="Arial" w:hAnsi="Arial" w:cs="Arial"/>
          <w:b/>
          <w:bCs/>
          <w:color w:val="auto"/>
        </w:rPr>
        <w:t>outlier exclusion</w:t>
      </w:r>
      <w:r w:rsidR="00995855" w:rsidRPr="00995855">
        <w:rPr>
          <w:rFonts w:ascii="Arial" w:hAnsi="Arial" w:cs="Arial"/>
          <w:color w:val="auto"/>
        </w:rPr>
        <w:t xml:space="preserve"> approach, and</w:t>
      </w:r>
      <w:r>
        <w:rPr>
          <w:rFonts w:ascii="Arial" w:hAnsi="Arial" w:cs="Arial"/>
          <w:color w:val="auto"/>
        </w:rPr>
        <w:t xml:space="preserve"> </w:t>
      </w:r>
      <w:r w:rsidR="00995855" w:rsidRPr="00995855">
        <w:rPr>
          <w:rFonts w:ascii="Arial" w:hAnsi="Arial" w:cs="Arial"/>
          <w:color w:val="auto"/>
        </w:rPr>
        <w:t>defined outliers to encompass:</w:t>
      </w:r>
    </w:p>
    <w:p w14:paraId="1D80BCF5" w14:textId="77777777" w:rsidR="00995855" w:rsidRPr="00995855" w:rsidRDefault="00995855" w:rsidP="00EC7E75">
      <w:pPr>
        <w:numPr>
          <w:ilvl w:val="0"/>
          <w:numId w:val="4"/>
        </w:numPr>
        <w:suppressAutoHyphens/>
        <w:spacing w:after="0" w:line="280" w:lineRule="atLeast"/>
        <w:jc w:val="both"/>
        <w:rPr>
          <w:rFonts w:ascii="Arial" w:eastAsia="Times New Roman" w:hAnsi="Arial" w:cs="Arial"/>
          <w:color w:val="auto"/>
          <w:lang w:eastAsia="en-GB"/>
        </w:rPr>
      </w:pPr>
      <w:r w:rsidRPr="00995855">
        <w:rPr>
          <w:rFonts w:ascii="Arial" w:eastAsia="Times New Roman" w:hAnsi="Arial" w:cs="Arial"/>
          <w:color w:val="auto"/>
          <w:lang w:eastAsia="en-GB"/>
        </w:rPr>
        <w:t>Null (empty) or zero values for any cost line where a null / zero value is inappropriate: and</w:t>
      </w:r>
    </w:p>
    <w:p w14:paraId="6EDDB2E1" w14:textId="77777777" w:rsidR="00995855" w:rsidRPr="00995855" w:rsidRDefault="00995855" w:rsidP="00995855">
      <w:pPr>
        <w:suppressAutoHyphens/>
        <w:spacing w:after="0" w:line="280" w:lineRule="atLeast"/>
        <w:ind w:left="720"/>
        <w:jc w:val="both"/>
        <w:rPr>
          <w:rFonts w:ascii="Arial" w:eastAsia="Times New Roman" w:hAnsi="Arial" w:cs="Arial"/>
          <w:color w:val="auto"/>
          <w:lang w:eastAsia="en-GB"/>
        </w:rPr>
      </w:pPr>
    </w:p>
    <w:p w14:paraId="4A246490" w14:textId="77777777" w:rsidR="00995855" w:rsidRPr="00995855" w:rsidRDefault="00995855" w:rsidP="00EC7E75">
      <w:pPr>
        <w:numPr>
          <w:ilvl w:val="0"/>
          <w:numId w:val="4"/>
        </w:numPr>
        <w:suppressAutoHyphens/>
        <w:spacing w:after="0" w:line="240" w:lineRule="auto"/>
        <w:rPr>
          <w:rFonts w:ascii="Arial" w:eastAsia="Times New Roman" w:hAnsi="Arial" w:cs="Arial"/>
          <w:color w:val="auto"/>
          <w:lang w:eastAsia="en-GB"/>
        </w:rPr>
      </w:pPr>
      <w:r w:rsidRPr="00995855">
        <w:rPr>
          <w:rFonts w:ascii="Arial" w:eastAsia="Times New Roman" w:hAnsi="Arial" w:cs="Arial"/>
          <w:color w:val="auto"/>
          <w:lang w:eastAsia="en-GB"/>
        </w:rPr>
        <w:t xml:space="preserve">Non-zero values which are outside specified boundaries. </w:t>
      </w:r>
    </w:p>
    <w:p w14:paraId="7132C7D8" w14:textId="77777777" w:rsidR="00995855" w:rsidRPr="00995855" w:rsidRDefault="00995855" w:rsidP="00995855">
      <w:pPr>
        <w:suppressAutoHyphens/>
        <w:spacing w:after="0" w:line="240" w:lineRule="auto"/>
        <w:ind w:left="720"/>
        <w:rPr>
          <w:rFonts w:ascii="Arial" w:eastAsia="Times New Roman" w:hAnsi="Arial" w:cs="Arial"/>
          <w:color w:val="auto"/>
          <w:lang w:eastAsia="en-GB"/>
        </w:rPr>
      </w:pPr>
    </w:p>
    <w:p w14:paraId="44299A03" w14:textId="4DEFC08E" w:rsidR="00995855" w:rsidRPr="00995855" w:rsidRDefault="00995855" w:rsidP="00995855">
      <w:pPr>
        <w:rPr>
          <w:rFonts w:ascii="Arial" w:hAnsi="Arial" w:cs="Arial"/>
          <w:color w:val="auto"/>
        </w:rPr>
      </w:pPr>
      <w:r w:rsidRPr="00995855">
        <w:rPr>
          <w:rFonts w:ascii="Arial" w:hAnsi="Arial" w:cs="Arial"/>
          <w:color w:val="auto"/>
        </w:rPr>
        <w:t xml:space="preserve">With respect to b), having researched various methodologies, </w:t>
      </w:r>
      <w:r w:rsidR="009917FD">
        <w:rPr>
          <w:rFonts w:ascii="Arial" w:hAnsi="Arial" w:cs="Arial"/>
          <w:color w:val="auto"/>
        </w:rPr>
        <w:t>they</w:t>
      </w:r>
      <w:r w:rsidR="009917FD" w:rsidRPr="00995855">
        <w:rPr>
          <w:rFonts w:ascii="Arial" w:hAnsi="Arial" w:cs="Arial"/>
          <w:color w:val="auto"/>
        </w:rPr>
        <w:t xml:space="preserve"> </w:t>
      </w:r>
      <w:r w:rsidRPr="00995855">
        <w:rPr>
          <w:rFonts w:ascii="Arial" w:hAnsi="Arial" w:cs="Arial"/>
          <w:color w:val="auto"/>
        </w:rPr>
        <w:t>adopted Double Median Absolute Deviation (Double MAD) as the preferred approach to setting outlier boundaries for each individual cost line.</w:t>
      </w:r>
    </w:p>
    <w:p w14:paraId="0B063857" w14:textId="77777777" w:rsidR="00995855" w:rsidRPr="00995855" w:rsidRDefault="00995855" w:rsidP="00995855">
      <w:pPr>
        <w:spacing w:after="0" w:line="280" w:lineRule="atLeast"/>
        <w:jc w:val="both"/>
        <w:rPr>
          <w:rFonts w:ascii="Arial" w:hAnsi="Arial" w:cs="Arial"/>
          <w:color w:val="auto"/>
        </w:rPr>
      </w:pPr>
      <m:oMathPara>
        <m:oMath>
          <m:r>
            <w:rPr>
              <w:rFonts w:ascii="Cambria Math" w:hAnsi="Cambria Math" w:cs="Arial"/>
              <w:color w:val="auto"/>
            </w:rPr>
            <m:t>MAD=median(</m:t>
          </m:r>
          <m:d>
            <m:dPr>
              <m:begChr m:val="|"/>
              <m:endChr m:val="|"/>
              <m:ctrlPr>
                <w:rPr>
                  <w:rFonts w:ascii="Cambria Math" w:hAnsi="Cambria Math" w:cs="Arial"/>
                  <w:i/>
                  <w:color w:val="auto"/>
                </w:rPr>
              </m:ctrlPr>
            </m:dPr>
            <m:e>
              <m:sSub>
                <m:sSubPr>
                  <m:ctrlPr>
                    <w:rPr>
                      <w:rFonts w:ascii="Cambria Math" w:hAnsi="Cambria Math" w:cs="Arial"/>
                      <w:i/>
                      <w:color w:val="auto"/>
                    </w:rPr>
                  </m:ctrlPr>
                </m:sSubPr>
                <m:e>
                  <m:r>
                    <w:rPr>
                      <w:rFonts w:ascii="Cambria Math" w:hAnsi="Cambria Math" w:cs="Arial"/>
                      <w:color w:val="auto"/>
                    </w:rPr>
                    <m:t>X</m:t>
                  </m:r>
                </m:e>
                <m:sub>
                  <m:r>
                    <w:rPr>
                      <w:rFonts w:ascii="Cambria Math" w:hAnsi="Cambria Math" w:cs="Arial"/>
                      <w:color w:val="auto"/>
                    </w:rPr>
                    <m:t>i</m:t>
                  </m:r>
                </m:sub>
              </m:sSub>
              <m:r>
                <w:rPr>
                  <w:rFonts w:ascii="Cambria Math" w:hAnsi="Cambria Math" w:cs="Arial"/>
                  <w:color w:val="auto"/>
                </w:rPr>
                <m:t>-</m:t>
              </m:r>
              <m:acc>
                <m:accPr>
                  <m:chr m:val="̅"/>
                  <m:ctrlPr>
                    <w:rPr>
                      <w:rFonts w:ascii="Cambria Math" w:hAnsi="Cambria Math" w:cs="Arial"/>
                      <w:i/>
                      <w:color w:val="auto"/>
                    </w:rPr>
                  </m:ctrlPr>
                </m:accPr>
                <m:e>
                  <m:r>
                    <w:rPr>
                      <w:rFonts w:ascii="Cambria Math" w:hAnsi="Cambria Math" w:cs="Arial"/>
                      <w:color w:val="auto"/>
                    </w:rPr>
                    <m:t>X</m:t>
                  </m:r>
                </m:e>
              </m:acc>
            </m:e>
          </m:d>
          <m:r>
            <w:rPr>
              <w:rFonts w:ascii="Cambria Math" w:hAnsi="Cambria Math" w:cs="Arial"/>
              <w:color w:val="auto"/>
            </w:rPr>
            <m:t>)</m:t>
          </m:r>
        </m:oMath>
      </m:oMathPara>
    </w:p>
    <w:p w14:paraId="08AC0D84"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ab/>
      </w:r>
    </w:p>
    <w:p w14:paraId="4B8F455D"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Median Absolute Deviation (MAD) is calculated by finding the absolute difference between each validated data point and the validated sample median and then calculating the median of these </w:t>
      </w:r>
      <w:r w:rsidRPr="00995855">
        <w:rPr>
          <w:rFonts w:ascii="Arial" w:hAnsi="Arial" w:cs="Arial"/>
          <w:color w:val="auto"/>
        </w:rPr>
        <w:lastRenderedPageBreak/>
        <w:t xml:space="preserve">absolute differences. </w:t>
      </w:r>
      <w:r w:rsidRPr="00995855">
        <w:rPr>
          <w:rFonts w:ascii="Arial" w:eastAsia="Times New Roman" w:hAnsi="Arial" w:cs="Arial"/>
          <w:color w:val="auto"/>
        </w:rPr>
        <w:t xml:space="preserve">For normally distributed data, MAD is multiplied by a constant b = </w:t>
      </w:r>
      <w:r w:rsidRPr="00995855">
        <w:rPr>
          <w:rFonts w:ascii="Arial" w:hAnsi="Arial" w:cs="Arial"/>
          <w:color w:val="auto"/>
          <w:shd w:val="clear" w:color="auto" w:fill="FFFFFF"/>
        </w:rPr>
        <w:t xml:space="preserve">1.4826, however, the distribution is unknown and not symmetric in our data sample. </w:t>
      </w:r>
    </w:p>
    <w:p w14:paraId="5264D468" w14:textId="77777777" w:rsidR="00995855" w:rsidRPr="00995855" w:rsidRDefault="00995855" w:rsidP="00995855">
      <w:pPr>
        <w:spacing w:after="0" w:line="280" w:lineRule="exact"/>
        <w:jc w:val="both"/>
        <w:rPr>
          <w:rFonts w:ascii="Arial" w:hAnsi="Arial" w:cs="Arial"/>
          <w:color w:val="auto"/>
          <w:shd w:val="clear" w:color="auto" w:fill="FFFFFF"/>
        </w:rPr>
      </w:pPr>
    </w:p>
    <w:p w14:paraId="01356889" w14:textId="1A9E597B" w:rsidR="00995855" w:rsidRPr="00995855" w:rsidRDefault="00995855" w:rsidP="00995855">
      <w:pPr>
        <w:spacing w:after="0" w:line="280" w:lineRule="exact"/>
        <w:jc w:val="both"/>
        <w:rPr>
          <w:rFonts w:ascii="Arial" w:hAnsi="Arial" w:cs="Arial"/>
          <w:color w:val="auto"/>
          <w:shd w:val="clear" w:color="auto" w:fill="FFFFFF"/>
        </w:rPr>
      </w:pPr>
      <w:r w:rsidRPr="00995855">
        <w:rPr>
          <w:rFonts w:ascii="Arial" w:hAnsi="Arial" w:cs="Arial"/>
          <w:color w:val="auto"/>
          <w:shd w:val="clear" w:color="auto" w:fill="FFFFFF"/>
        </w:rPr>
        <w:t xml:space="preserve">Furthermore, statistically testing for skewness in the sample confirms that the data suffers from a highly asymmetric distribution across all categories. Using a singular Median Absolute Deviation value, disregarding the asymmetry in the distribution, would produce unreliable results. For this reason, </w:t>
      </w:r>
      <w:r w:rsidR="006D0590" w:rsidRPr="0084182A">
        <w:rPr>
          <w:rFonts w:ascii="Arial" w:hAnsi="Arial" w:cs="Arial"/>
          <w:color w:val="auto"/>
        </w:rPr>
        <w:t>LaingBuisson</w:t>
      </w:r>
      <w:r w:rsidRPr="00995855">
        <w:rPr>
          <w:rFonts w:ascii="Arial" w:hAnsi="Arial" w:cs="Arial"/>
          <w:color w:val="auto"/>
          <w:shd w:val="clear" w:color="auto" w:fill="FFFFFF"/>
        </w:rPr>
        <w:t xml:space="preserve"> opted for an enhanced method called “Double MAD.”</w:t>
      </w:r>
    </w:p>
    <w:p w14:paraId="78F7FF92" w14:textId="77777777" w:rsidR="00995855" w:rsidRPr="00995855" w:rsidRDefault="00995855" w:rsidP="00995855">
      <w:pPr>
        <w:spacing w:after="0" w:line="280" w:lineRule="exact"/>
        <w:jc w:val="both"/>
        <w:rPr>
          <w:rFonts w:ascii="Arial" w:hAnsi="Arial" w:cs="Arial"/>
          <w:color w:val="auto"/>
          <w:shd w:val="clear" w:color="auto" w:fill="FFFFFF"/>
        </w:rPr>
      </w:pPr>
    </w:p>
    <w:p w14:paraId="5D147FE5" w14:textId="6F3C503B"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shd w:val="clear" w:color="auto" w:fill="FFFFFF"/>
        </w:rPr>
        <w:t>The premises of this method are similar to the classic version, with the only difference being the calculation of two Median Absolute Deviations: 1) the median absolute deviation from the median of all points less than or equal to the median and (2) the median absolute deviation from the median of all points greater than or equal to the median</w:t>
      </w:r>
      <w:r w:rsidRPr="00995855">
        <w:rPr>
          <w:rFonts w:ascii="Arial" w:eastAsia="Times New Roman" w:hAnsi="Arial" w:cs="Arial"/>
          <w:color w:val="auto"/>
        </w:rPr>
        <w:t xml:space="preserve">. This allows </w:t>
      </w:r>
      <w:r w:rsidR="00FD0792">
        <w:rPr>
          <w:rFonts w:ascii="Arial" w:eastAsia="Times New Roman" w:hAnsi="Arial" w:cs="Arial"/>
          <w:color w:val="auto"/>
        </w:rPr>
        <w:t>for the</w:t>
      </w:r>
      <w:r w:rsidRPr="00995855">
        <w:rPr>
          <w:rFonts w:ascii="Arial" w:eastAsia="Times New Roman" w:hAnsi="Arial" w:cs="Arial"/>
          <w:color w:val="auto"/>
        </w:rPr>
        <w:t xml:space="preserve"> set</w:t>
      </w:r>
      <w:r w:rsidR="00FD0792">
        <w:rPr>
          <w:rFonts w:ascii="Arial" w:eastAsia="Times New Roman" w:hAnsi="Arial" w:cs="Arial"/>
          <w:color w:val="auto"/>
        </w:rPr>
        <w:t>ting of</w:t>
      </w:r>
      <w:r w:rsidRPr="00995855">
        <w:rPr>
          <w:rFonts w:ascii="Arial" w:eastAsia="Times New Roman" w:hAnsi="Arial" w:cs="Arial"/>
          <w:color w:val="auto"/>
        </w:rPr>
        <w:t xml:space="preserve"> pertinent outlier thresholds taking into account skewness in the data sample. Finally, for each cost line, </w:t>
      </w:r>
      <w:r w:rsidR="00FD0792">
        <w:rPr>
          <w:rFonts w:ascii="Arial" w:eastAsia="Times New Roman" w:hAnsi="Arial" w:cs="Arial"/>
          <w:color w:val="auto"/>
        </w:rPr>
        <w:t>LaingBuisson</w:t>
      </w:r>
      <w:r w:rsidR="00FD0792" w:rsidRPr="00995855">
        <w:rPr>
          <w:rFonts w:ascii="Arial" w:eastAsia="Times New Roman" w:hAnsi="Arial" w:cs="Arial"/>
          <w:color w:val="auto"/>
        </w:rPr>
        <w:t xml:space="preserve"> </w:t>
      </w:r>
      <w:r w:rsidRPr="00995855">
        <w:rPr>
          <w:rFonts w:ascii="Arial" w:eastAsia="Times New Roman" w:hAnsi="Arial" w:cs="Arial"/>
          <w:color w:val="auto"/>
        </w:rPr>
        <w:t>have defined as an outlier any data point which is more than 2 X MAD above or below the median. All such outliers have been excluded from the calculation of median costs in Table 4.</w:t>
      </w:r>
    </w:p>
    <w:p w14:paraId="155F932C" w14:textId="77777777" w:rsidR="005C1D9F" w:rsidRPr="00995855" w:rsidRDefault="005C1D9F" w:rsidP="006C206C">
      <w:pPr>
        <w:spacing w:after="0" w:line="240" w:lineRule="auto"/>
        <w:jc w:val="both"/>
        <w:rPr>
          <w:rFonts w:ascii="Arial" w:hAnsi="Arial" w:cs="Arial"/>
          <w:color w:val="auto"/>
        </w:rPr>
      </w:pPr>
    </w:p>
    <w:p w14:paraId="769DB5D9"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16" w:name="_Toc114240156"/>
      <w:r w:rsidRPr="0084182A">
        <w:rPr>
          <w:rFonts w:ascii="Arial" w:eastAsia="Times New Roman" w:hAnsi="Arial" w:cs="Arial"/>
          <w:color w:val="auto"/>
          <w:lang w:eastAsia="en-GB"/>
        </w:rPr>
        <w:t>2.7 Response rates</w:t>
      </w:r>
      <w:bookmarkEnd w:id="16"/>
    </w:p>
    <w:p w14:paraId="1B563241" w14:textId="77777777" w:rsidR="00995855" w:rsidRPr="00995855" w:rsidRDefault="00995855" w:rsidP="00995855">
      <w:pPr>
        <w:spacing w:after="0" w:line="280" w:lineRule="exact"/>
        <w:jc w:val="both"/>
        <w:rPr>
          <w:rFonts w:ascii="Arial" w:hAnsi="Arial" w:cs="Arial"/>
          <w:color w:val="auto"/>
          <w:lang w:eastAsia="en-GB"/>
        </w:rPr>
      </w:pPr>
    </w:p>
    <w:p w14:paraId="6FFF7FEF" w14:textId="3E185699" w:rsidR="008534E0" w:rsidRDefault="00995855" w:rsidP="00995855">
      <w:pPr>
        <w:tabs>
          <w:tab w:val="left" w:pos="9950"/>
        </w:tabs>
        <w:spacing w:after="0" w:line="280" w:lineRule="exact"/>
        <w:jc w:val="both"/>
        <w:rPr>
          <w:rFonts w:ascii="Arial" w:eastAsia="Times New Roman" w:hAnsi="Arial" w:cs="Arial"/>
          <w:color w:val="000000"/>
          <w:lang w:eastAsia="en-GB"/>
        </w:rPr>
      </w:pPr>
      <w:r w:rsidRPr="00995855">
        <w:rPr>
          <w:rFonts w:ascii="Arial" w:hAnsi="Arial" w:cs="Arial"/>
          <w:color w:val="auto"/>
          <w:lang w:eastAsia="en-GB"/>
        </w:rPr>
        <w:t xml:space="preserve">The overall validated response rate stands at </w:t>
      </w:r>
      <w:r w:rsidR="006D0590" w:rsidRPr="00B75F2E">
        <w:rPr>
          <w:rFonts w:ascii="Arial" w:hAnsi="Arial" w:cs="Arial"/>
          <w:color w:val="auto"/>
          <w:lang w:eastAsia="en-GB"/>
        </w:rPr>
        <w:t>5</w:t>
      </w:r>
      <w:r w:rsidR="0026246D" w:rsidRPr="00B75F2E">
        <w:rPr>
          <w:rFonts w:ascii="Arial" w:hAnsi="Arial" w:cs="Arial"/>
          <w:color w:val="auto"/>
          <w:lang w:eastAsia="en-GB"/>
        </w:rPr>
        <w:t>0</w:t>
      </w:r>
      <w:r w:rsidRPr="00B75F2E">
        <w:rPr>
          <w:rFonts w:ascii="Arial" w:hAnsi="Arial" w:cs="Arial"/>
        </w:rPr>
        <w:t>%</w:t>
      </w:r>
      <w:r w:rsidRPr="00995855">
        <w:rPr>
          <w:rFonts w:ascii="Arial" w:hAnsi="Arial" w:cs="Arial"/>
          <w:color w:val="auto"/>
          <w:lang w:eastAsia="en-GB"/>
        </w:rPr>
        <w:t xml:space="preserve"> for all care homes in scope</w:t>
      </w:r>
      <w:r w:rsidR="0026246D">
        <w:rPr>
          <w:rFonts w:ascii="Arial" w:hAnsi="Arial" w:cs="Arial"/>
          <w:color w:val="auto"/>
          <w:lang w:eastAsia="en-GB"/>
        </w:rPr>
        <w:t xml:space="preserve"> </w:t>
      </w:r>
      <w:r w:rsidR="0026246D" w:rsidRPr="0026246D">
        <w:rPr>
          <w:rFonts w:ascii="Arial" w:hAnsi="Arial" w:cs="Arial"/>
          <w:color w:val="auto"/>
          <w:lang w:eastAsia="en-GB"/>
        </w:rPr>
        <w:t xml:space="preserve">(55% for nursing homes and 42% for residential homes). </w:t>
      </w:r>
      <w:r w:rsidRPr="00B75F2E">
        <w:rPr>
          <w:rFonts w:ascii="Arial" w:hAnsi="Arial" w:cs="Arial"/>
          <w:color w:val="auto"/>
          <w:lang w:eastAsia="en-GB"/>
        </w:rPr>
        <w:t>Table 2 segments</w:t>
      </w:r>
      <w:r w:rsidRPr="00995855">
        <w:rPr>
          <w:rFonts w:ascii="Arial" w:hAnsi="Arial" w:cs="Arial"/>
          <w:color w:val="auto"/>
          <w:lang w:eastAsia="en-GB"/>
        </w:rPr>
        <w:t xml:space="preserve"> response rates according to key care home characteristics which might have a bearing on costs. Response rates </w:t>
      </w:r>
      <w:r w:rsidR="006D0590">
        <w:rPr>
          <w:rFonts w:ascii="Arial" w:hAnsi="Arial" w:cs="Arial"/>
          <w:color w:val="auto"/>
          <w:lang w:eastAsia="en-GB"/>
        </w:rPr>
        <w:t>could</w:t>
      </w:r>
      <w:r w:rsidRPr="00995855">
        <w:rPr>
          <w:rFonts w:ascii="Arial" w:hAnsi="Arial" w:cs="Arial"/>
          <w:color w:val="auto"/>
          <w:lang w:eastAsia="en-GB"/>
        </w:rPr>
        <w:t xml:space="preserve"> </w:t>
      </w:r>
      <w:r w:rsidR="009917FD">
        <w:rPr>
          <w:rFonts w:ascii="Arial" w:hAnsi="Arial" w:cs="Arial"/>
          <w:color w:val="auto"/>
          <w:lang w:eastAsia="en-GB"/>
        </w:rPr>
        <w:t xml:space="preserve">have </w:t>
      </w:r>
      <w:r w:rsidRPr="00995855">
        <w:rPr>
          <w:rFonts w:ascii="Arial" w:hAnsi="Arial" w:cs="Arial"/>
          <w:color w:val="auto"/>
          <w:lang w:eastAsia="en-GB"/>
        </w:rPr>
        <w:t>rise</w:t>
      </w:r>
      <w:r w:rsidR="009917FD">
        <w:rPr>
          <w:rFonts w:ascii="Arial" w:hAnsi="Arial" w:cs="Arial"/>
          <w:color w:val="auto"/>
          <w:lang w:eastAsia="en-GB"/>
        </w:rPr>
        <w:t>n</w:t>
      </w:r>
      <w:r w:rsidRPr="00995855">
        <w:rPr>
          <w:rFonts w:ascii="Arial" w:hAnsi="Arial" w:cs="Arial"/>
          <w:color w:val="auto"/>
          <w:lang w:eastAsia="en-GB"/>
        </w:rPr>
        <w:t xml:space="preserve"> </w:t>
      </w:r>
      <w:r w:rsidR="006D0590">
        <w:rPr>
          <w:rFonts w:ascii="Arial" w:hAnsi="Arial" w:cs="Arial"/>
          <w:color w:val="auto"/>
          <w:lang w:eastAsia="en-GB"/>
        </w:rPr>
        <w:t>if</w:t>
      </w:r>
      <w:r w:rsidR="006D0590" w:rsidRPr="00995855">
        <w:rPr>
          <w:rFonts w:ascii="Arial" w:hAnsi="Arial" w:cs="Arial"/>
          <w:color w:val="auto"/>
          <w:lang w:eastAsia="en-GB"/>
        </w:rPr>
        <w:t xml:space="preserve"> </w:t>
      </w:r>
      <w:r w:rsidRPr="00995855">
        <w:rPr>
          <w:rFonts w:ascii="Arial" w:hAnsi="Arial" w:cs="Arial"/>
          <w:color w:val="auto"/>
          <w:lang w:eastAsia="en-GB"/>
        </w:rPr>
        <w:t xml:space="preserve">more toolkits </w:t>
      </w:r>
      <w:r w:rsidR="009917FD">
        <w:rPr>
          <w:rFonts w:ascii="Arial" w:hAnsi="Arial" w:cs="Arial"/>
          <w:color w:val="auto"/>
          <w:lang w:eastAsia="en-GB"/>
        </w:rPr>
        <w:t>were</w:t>
      </w:r>
      <w:r w:rsidR="009917FD" w:rsidRPr="00995855">
        <w:rPr>
          <w:rFonts w:ascii="Arial" w:hAnsi="Arial" w:cs="Arial"/>
          <w:color w:val="auto"/>
          <w:lang w:eastAsia="en-GB"/>
        </w:rPr>
        <w:t xml:space="preserve"> </w:t>
      </w:r>
      <w:r w:rsidRPr="00995855">
        <w:rPr>
          <w:rFonts w:ascii="Arial" w:hAnsi="Arial" w:cs="Arial"/>
          <w:color w:val="auto"/>
          <w:lang w:eastAsia="en-GB"/>
        </w:rPr>
        <w:t>validated. At present, the segments which are over-represented include nursing homes, for-profit organisations, and large corporate group providers. Conversely, residential homes and small group/independent providers are at present under-represented. There is variable representation of the constituent Districts of Oxfordshire County Council.</w:t>
      </w:r>
    </w:p>
    <w:p w14:paraId="46BF06EB" w14:textId="77777777" w:rsidR="0026246D" w:rsidRPr="0026246D" w:rsidRDefault="0026246D" w:rsidP="00995855">
      <w:pPr>
        <w:tabs>
          <w:tab w:val="left" w:pos="9950"/>
        </w:tabs>
        <w:spacing w:after="0" w:line="280" w:lineRule="exact"/>
        <w:jc w:val="both"/>
        <w:rPr>
          <w:rFonts w:ascii="Arial" w:eastAsia="Times New Roman" w:hAnsi="Arial" w:cs="Arial"/>
          <w:color w:val="000000"/>
          <w:lang w:eastAsia="en-GB"/>
        </w:rPr>
      </w:pPr>
    </w:p>
    <w:p w14:paraId="72925622" w14:textId="40DD8BE7" w:rsidR="00995855" w:rsidRPr="0013072B" w:rsidRDefault="00995855" w:rsidP="0084182A">
      <w:pPr>
        <w:keepNext/>
        <w:suppressAutoHyphens/>
        <w:spacing w:after="0" w:line="260" w:lineRule="exact"/>
        <w:rPr>
          <w:rFonts w:ascii="Arial" w:eastAsia="Times New Roman" w:hAnsi="Arial" w:cs="Arial"/>
          <w:bCs/>
          <w:sz w:val="20"/>
          <w:szCs w:val="20"/>
          <w:lang w:eastAsia="en-GB"/>
        </w:rPr>
      </w:pPr>
      <w:r w:rsidRPr="0013072B">
        <w:rPr>
          <w:rFonts w:ascii="Arial" w:eastAsia="Times New Roman" w:hAnsi="Arial" w:cs="Arial"/>
          <w:bCs/>
          <w:sz w:val="20"/>
          <w:szCs w:val="20"/>
          <w:lang w:eastAsia="en-GB"/>
        </w:rPr>
        <w:t xml:space="preserve">Table 2 </w:t>
      </w:r>
      <w:r w:rsidR="0084182A" w:rsidRPr="0013072B">
        <w:rPr>
          <w:rFonts w:ascii="Arial" w:eastAsia="Times New Roman" w:hAnsi="Arial" w:cs="Arial"/>
          <w:bCs/>
          <w:sz w:val="20"/>
          <w:szCs w:val="20"/>
          <w:lang w:eastAsia="en-GB"/>
        </w:rPr>
        <w:t>-</w:t>
      </w:r>
      <w:r w:rsidRPr="0013072B">
        <w:rPr>
          <w:rFonts w:ascii="Arial" w:eastAsia="Times New Roman" w:hAnsi="Arial" w:cs="Arial"/>
          <w:bCs/>
          <w:sz w:val="20"/>
          <w:szCs w:val="20"/>
          <w:lang w:eastAsia="en-GB"/>
        </w:rPr>
        <w:t xml:space="preserve"> Segmented response rates (validated plus partially validated) by key characteristics </w:t>
      </w:r>
    </w:p>
    <w:p w14:paraId="08BA6AA5" w14:textId="7299E500" w:rsidR="002D6E7B" w:rsidRDefault="002D6E7B" w:rsidP="0084182A">
      <w:pPr>
        <w:keepNext/>
        <w:suppressAutoHyphens/>
        <w:spacing w:after="0" w:line="260" w:lineRule="exact"/>
        <w:rPr>
          <w:rFonts w:ascii="Arial" w:eastAsia="Times New Roman" w:hAnsi="Arial" w:cs="Arial"/>
          <w:bCs/>
          <w:sz w:val="18"/>
          <w:szCs w:val="18"/>
          <w:lang w:eastAsia="en-GB"/>
        </w:rPr>
      </w:pPr>
    </w:p>
    <w:tbl>
      <w:tblPr>
        <w:tblStyle w:val="TableGrid1"/>
        <w:tblW w:w="10322" w:type="dxa"/>
        <w:tblLayout w:type="fixed"/>
        <w:tblLook w:val="04A0" w:firstRow="1" w:lastRow="0" w:firstColumn="1" w:lastColumn="0" w:noHBand="0" w:noVBand="1"/>
      </w:tblPr>
      <w:tblGrid>
        <w:gridCol w:w="2092"/>
        <w:gridCol w:w="1416"/>
        <w:gridCol w:w="1418"/>
        <w:gridCol w:w="1281"/>
        <w:gridCol w:w="1417"/>
        <w:gridCol w:w="1466"/>
        <w:gridCol w:w="1232"/>
      </w:tblGrid>
      <w:tr w:rsidR="002D6E7B" w:rsidRPr="003C08B5" w14:paraId="58F7D387" w14:textId="77777777" w:rsidTr="00B10C48">
        <w:trPr>
          <w:trHeight w:val="1062"/>
        </w:trPr>
        <w:tc>
          <w:tcPr>
            <w:tcW w:w="2092" w:type="dxa"/>
            <w:noWrap/>
          </w:tcPr>
          <w:p w14:paraId="54B398F9" w14:textId="77777777" w:rsidR="002D6E7B" w:rsidRPr="003C08B5" w:rsidRDefault="002D6E7B" w:rsidP="00B10C48">
            <w:pPr>
              <w:rPr>
                <w:rFonts w:ascii="Arial" w:hAnsi="Arial" w:cs="Arial"/>
                <w:color w:val="auto"/>
                <w:sz w:val="20"/>
                <w:szCs w:val="20"/>
              </w:rPr>
            </w:pPr>
          </w:p>
        </w:tc>
        <w:tc>
          <w:tcPr>
            <w:tcW w:w="1416" w:type="dxa"/>
            <w:noWrap/>
          </w:tcPr>
          <w:p w14:paraId="09006AC4" w14:textId="77777777" w:rsidR="002D6E7B" w:rsidRPr="0013072B" w:rsidRDefault="002D6E7B" w:rsidP="00B10C48">
            <w:pPr>
              <w:rPr>
                <w:rFonts w:ascii="Arial" w:hAnsi="Arial" w:cs="Arial"/>
                <w:color w:val="auto"/>
                <w:sz w:val="18"/>
                <w:szCs w:val="18"/>
                <w:lang w:eastAsia="en-GB"/>
              </w:rPr>
            </w:pPr>
            <w:r w:rsidRPr="0013072B">
              <w:rPr>
                <w:rFonts w:ascii="Arial" w:hAnsi="Arial" w:cs="Arial"/>
                <w:color w:val="auto"/>
                <w:sz w:val="18"/>
                <w:szCs w:val="18"/>
                <w:lang w:eastAsia="en-GB"/>
              </w:rPr>
              <w:t>Nursing Homes                                         Respondents</w:t>
            </w:r>
          </w:p>
        </w:tc>
        <w:tc>
          <w:tcPr>
            <w:tcW w:w="1418" w:type="dxa"/>
            <w:noWrap/>
          </w:tcPr>
          <w:p w14:paraId="700CA0AA" w14:textId="5AD250B1" w:rsidR="002D6E7B" w:rsidRPr="0013072B" w:rsidRDefault="0013072B" w:rsidP="00B10C48">
            <w:pPr>
              <w:rPr>
                <w:rFonts w:ascii="Arial" w:hAnsi="Arial" w:cs="Arial"/>
                <w:color w:val="auto"/>
                <w:sz w:val="18"/>
                <w:szCs w:val="18"/>
                <w:lang w:eastAsia="en-GB"/>
              </w:rPr>
            </w:pPr>
            <w:r>
              <w:rPr>
                <w:rFonts w:ascii="Arial" w:hAnsi="Arial" w:cs="Arial"/>
                <w:color w:val="auto"/>
                <w:sz w:val="18"/>
                <w:szCs w:val="18"/>
                <w:lang w:eastAsia="en-GB"/>
              </w:rPr>
              <w:t xml:space="preserve">Nursing </w:t>
            </w:r>
            <w:r w:rsidR="002D6E7B" w:rsidRPr="0013072B">
              <w:rPr>
                <w:rFonts w:ascii="Arial" w:hAnsi="Arial" w:cs="Arial"/>
                <w:color w:val="auto"/>
                <w:sz w:val="18"/>
                <w:szCs w:val="18"/>
                <w:lang w:eastAsia="en-GB"/>
              </w:rPr>
              <w:t>Homes in scope with the relevant characteristic</w:t>
            </w:r>
          </w:p>
        </w:tc>
        <w:tc>
          <w:tcPr>
            <w:tcW w:w="1281" w:type="dxa"/>
            <w:noWrap/>
          </w:tcPr>
          <w:p w14:paraId="2F7C9431" w14:textId="77777777" w:rsidR="002D6E7B" w:rsidRPr="0013072B" w:rsidRDefault="002D6E7B" w:rsidP="00B10C48">
            <w:pPr>
              <w:rPr>
                <w:rFonts w:ascii="Arial" w:hAnsi="Arial" w:cs="Arial"/>
                <w:color w:val="auto"/>
                <w:sz w:val="18"/>
                <w:szCs w:val="18"/>
                <w:lang w:eastAsia="en-GB"/>
              </w:rPr>
            </w:pPr>
            <w:r w:rsidRPr="0013072B">
              <w:rPr>
                <w:rFonts w:ascii="Arial" w:hAnsi="Arial" w:cs="Arial"/>
                <w:color w:val="auto"/>
                <w:sz w:val="18"/>
                <w:szCs w:val="18"/>
                <w:lang w:eastAsia="en-GB"/>
              </w:rPr>
              <w:t>Response rate (%)</w:t>
            </w:r>
          </w:p>
        </w:tc>
        <w:tc>
          <w:tcPr>
            <w:tcW w:w="1417" w:type="dxa"/>
            <w:noWrap/>
          </w:tcPr>
          <w:p w14:paraId="594DEE25" w14:textId="77777777" w:rsidR="002D6E7B" w:rsidRPr="0013072B" w:rsidRDefault="002D6E7B" w:rsidP="00B10C48">
            <w:pPr>
              <w:rPr>
                <w:rFonts w:ascii="Arial" w:hAnsi="Arial" w:cs="Arial"/>
                <w:color w:val="auto"/>
                <w:sz w:val="18"/>
                <w:szCs w:val="18"/>
                <w:lang w:eastAsia="en-GB"/>
              </w:rPr>
            </w:pPr>
            <w:r w:rsidRPr="0013072B">
              <w:rPr>
                <w:rFonts w:ascii="Arial" w:hAnsi="Arial" w:cs="Arial"/>
                <w:color w:val="auto"/>
                <w:sz w:val="18"/>
                <w:szCs w:val="18"/>
                <w:lang w:eastAsia="en-GB"/>
              </w:rPr>
              <w:t>Residential Homes Respondents</w:t>
            </w:r>
          </w:p>
        </w:tc>
        <w:tc>
          <w:tcPr>
            <w:tcW w:w="1466" w:type="dxa"/>
            <w:noWrap/>
          </w:tcPr>
          <w:p w14:paraId="1DB5F32F" w14:textId="63201730" w:rsidR="002D6E7B" w:rsidRPr="0013072B" w:rsidRDefault="0013072B" w:rsidP="00B10C48">
            <w:pPr>
              <w:rPr>
                <w:rFonts w:ascii="Arial" w:hAnsi="Arial" w:cs="Arial"/>
                <w:color w:val="auto"/>
                <w:sz w:val="18"/>
                <w:szCs w:val="18"/>
                <w:lang w:eastAsia="en-GB"/>
              </w:rPr>
            </w:pPr>
            <w:r>
              <w:rPr>
                <w:rFonts w:ascii="Arial" w:hAnsi="Arial" w:cs="Arial"/>
                <w:color w:val="auto"/>
                <w:sz w:val="18"/>
                <w:szCs w:val="18"/>
                <w:lang w:eastAsia="en-GB"/>
              </w:rPr>
              <w:t xml:space="preserve">Residential </w:t>
            </w:r>
            <w:r w:rsidR="002D6E7B" w:rsidRPr="0013072B">
              <w:rPr>
                <w:rFonts w:ascii="Arial" w:hAnsi="Arial" w:cs="Arial"/>
                <w:color w:val="auto"/>
                <w:sz w:val="18"/>
                <w:szCs w:val="18"/>
                <w:lang w:eastAsia="en-GB"/>
              </w:rPr>
              <w:t>Homes in scope with the relevant characteristic</w:t>
            </w:r>
          </w:p>
        </w:tc>
        <w:tc>
          <w:tcPr>
            <w:tcW w:w="1232" w:type="dxa"/>
            <w:noWrap/>
          </w:tcPr>
          <w:p w14:paraId="683F2192" w14:textId="77777777" w:rsidR="002D6E7B" w:rsidRPr="0013072B" w:rsidRDefault="002D6E7B" w:rsidP="00B10C48">
            <w:pPr>
              <w:rPr>
                <w:rFonts w:ascii="Arial" w:hAnsi="Arial" w:cs="Arial"/>
                <w:color w:val="auto"/>
                <w:sz w:val="18"/>
                <w:szCs w:val="18"/>
                <w:lang w:eastAsia="en-GB"/>
              </w:rPr>
            </w:pPr>
            <w:r w:rsidRPr="0013072B">
              <w:rPr>
                <w:rFonts w:ascii="Arial" w:hAnsi="Arial" w:cs="Arial"/>
                <w:color w:val="auto"/>
                <w:sz w:val="18"/>
                <w:szCs w:val="18"/>
                <w:lang w:eastAsia="en-GB"/>
              </w:rPr>
              <w:t>Response rate (%)</w:t>
            </w:r>
          </w:p>
        </w:tc>
      </w:tr>
      <w:tr w:rsidR="002D6E7B" w:rsidRPr="003C08B5" w14:paraId="312DD46E" w14:textId="77777777" w:rsidTr="00B10C48">
        <w:trPr>
          <w:trHeight w:val="226"/>
        </w:trPr>
        <w:tc>
          <w:tcPr>
            <w:tcW w:w="2092" w:type="dxa"/>
            <w:noWrap/>
            <w:hideMark/>
          </w:tcPr>
          <w:p w14:paraId="367AB4B1"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Total</w:t>
            </w:r>
          </w:p>
        </w:tc>
        <w:tc>
          <w:tcPr>
            <w:tcW w:w="1416" w:type="dxa"/>
            <w:noWrap/>
          </w:tcPr>
          <w:p w14:paraId="1C72AB3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41</w:t>
            </w:r>
          </w:p>
        </w:tc>
        <w:tc>
          <w:tcPr>
            <w:tcW w:w="1418" w:type="dxa"/>
            <w:noWrap/>
          </w:tcPr>
          <w:p w14:paraId="761E35D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75</w:t>
            </w:r>
          </w:p>
        </w:tc>
        <w:tc>
          <w:tcPr>
            <w:tcW w:w="1281" w:type="dxa"/>
            <w:noWrap/>
          </w:tcPr>
          <w:p w14:paraId="0003638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55%</w:t>
            </w:r>
          </w:p>
        </w:tc>
        <w:tc>
          <w:tcPr>
            <w:tcW w:w="1417" w:type="dxa"/>
            <w:noWrap/>
          </w:tcPr>
          <w:p w14:paraId="1D0EDCC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15</w:t>
            </w:r>
          </w:p>
        </w:tc>
        <w:tc>
          <w:tcPr>
            <w:tcW w:w="1466" w:type="dxa"/>
            <w:noWrap/>
          </w:tcPr>
          <w:p w14:paraId="5E38C636"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36</w:t>
            </w:r>
          </w:p>
        </w:tc>
        <w:tc>
          <w:tcPr>
            <w:tcW w:w="1232" w:type="dxa"/>
            <w:noWrap/>
          </w:tcPr>
          <w:p w14:paraId="4319005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42%</w:t>
            </w:r>
          </w:p>
        </w:tc>
      </w:tr>
      <w:tr w:rsidR="002D6E7B" w:rsidRPr="003C08B5" w14:paraId="1B2AEB9E" w14:textId="77777777" w:rsidTr="00B10C48">
        <w:trPr>
          <w:trHeight w:val="226"/>
        </w:trPr>
        <w:tc>
          <w:tcPr>
            <w:tcW w:w="2092" w:type="dxa"/>
            <w:noWrap/>
            <w:hideMark/>
          </w:tcPr>
          <w:p w14:paraId="463B51DC"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Strategic providers</w:t>
            </w:r>
          </w:p>
        </w:tc>
        <w:tc>
          <w:tcPr>
            <w:tcW w:w="1416" w:type="dxa"/>
            <w:noWrap/>
          </w:tcPr>
          <w:p w14:paraId="6CC02CD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14</w:t>
            </w:r>
          </w:p>
        </w:tc>
        <w:tc>
          <w:tcPr>
            <w:tcW w:w="1418" w:type="dxa"/>
            <w:noWrap/>
          </w:tcPr>
          <w:p w14:paraId="23858F6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19</w:t>
            </w:r>
          </w:p>
        </w:tc>
        <w:tc>
          <w:tcPr>
            <w:tcW w:w="1281" w:type="dxa"/>
            <w:noWrap/>
          </w:tcPr>
          <w:p w14:paraId="55DBEF2F"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74%</w:t>
            </w:r>
          </w:p>
        </w:tc>
        <w:tc>
          <w:tcPr>
            <w:tcW w:w="1417" w:type="dxa"/>
            <w:noWrap/>
          </w:tcPr>
          <w:p w14:paraId="7173CCD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w:t>
            </w:r>
          </w:p>
        </w:tc>
        <w:tc>
          <w:tcPr>
            <w:tcW w:w="1466" w:type="dxa"/>
            <w:noWrap/>
          </w:tcPr>
          <w:p w14:paraId="0285599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8</w:t>
            </w:r>
          </w:p>
        </w:tc>
        <w:tc>
          <w:tcPr>
            <w:tcW w:w="1232" w:type="dxa"/>
            <w:noWrap/>
          </w:tcPr>
          <w:p w14:paraId="50CB1D2B"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88%</w:t>
            </w:r>
          </w:p>
        </w:tc>
      </w:tr>
      <w:tr w:rsidR="002D6E7B" w:rsidRPr="003C08B5" w14:paraId="3A31B18F" w14:textId="77777777" w:rsidTr="00B10C48">
        <w:trPr>
          <w:trHeight w:val="226"/>
        </w:trPr>
        <w:tc>
          <w:tcPr>
            <w:tcW w:w="2092" w:type="dxa"/>
            <w:noWrap/>
          </w:tcPr>
          <w:p w14:paraId="589DD394" w14:textId="77777777" w:rsidR="002D6E7B" w:rsidRPr="003C08B5" w:rsidRDefault="002D6E7B" w:rsidP="00B10C48">
            <w:pPr>
              <w:rPr>
                <w:rFonts w:ascii="Arial" w:hAnsi="Arial" w:cs="Arial"/>
                <w:b/>
                <w:bCs/>
                <w:color w:val="auto"/>
                <w:sz w:val="20"/>
                <w:szCs w:val="20"/>
                <w:lang w:eastAsia="en-GB"/>
              </w:rPr>
            </w:pPr>
            <w:r w:rsidRPr="003C08B5">
              <w:rPr>
                <w:rFonts w:ascii="Arial" w:hAnsi="Arial" w:cs="Arial"/>
                <w:b/>
                <w:bCs/>
                <w:color w:val="auto"/>
                <w:sz w:val="20"/>
                <w:szCs w:val="20"/>
                <w:lang w:eastAsia="en-GB"/>
              </w:rPr>
              <w:t>Provider sector</w:t>
            </w:r>
          </w:p>
        </w:tc>
        <w:tc>
          <w:tcPr>
            <w:tcW w:w="1416" w:type="dxa"/>
            <w:noWrap/>
          </w:tcPr>
          <w:p w14:paraId="39CAC409"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32CF5CFF"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582F604D"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2C8E569F"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6B9DD3C5"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20D22DBF"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2EB38B0D" w14:textId="77777777" w:rsidTr="00B10C48">
        <w:trPr>
          <w:trHeight w:val="226"/>
        </w:trPr>
        <w:tc>
          <w:tcPr>
            <w:tcW w:w="2092" w:type="dxa"/>
            <w:noWrap/>
            <w:hideMark/>
          </w:tcPr>
          <w:p w14:paraId="1F758521"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For-profit</w:t>
            </w:r>
          </w:p>
        </w:tc>
        <w:tc>
          <w:tcPr>
            <w:tcW w:w="1416" w:type="dxa"/>
            <w:noWrap/>
          </w:tcPr>
          <w:p w14:paraId="7A81161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27</w:t>
            </w:r>
          </w:p>
        </w:tc>
        <w:tc>
          <w:tcPr>
            <w:tcW w:w="1418" w:type="dxa"/>
            <w:noWrap/>
          </w:tcPr>
          <w:p w14:paraId="45390E5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57</w:t>
            </w:r>
          </w:p>
        </w:tc>
        <w:tc>
          <w:tcPr>
            <w:tcW w:w="1281" w:type="dxa"/>
            <w:noWrap/>
          </w:tcPr>
          <w:p w14:paraId="38E7792B"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47%</w:t>
            </w:r>
          </w:p>
        </w:tc>
        <w:tc>
          <w:tcPr>
            <w:tcW w:w="1417" w:type="dxa"/>
            <w:noWrap/>
          </w:tcPr>
          <w:p w14:paraId="2320397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w:t>
            </w:r>
          </w:p>
        </w:tc>
        <w:tc>
          <w:tcPr>
            <w:tcW w:w="1466" w:type="dxa"/>
            <w:noWrap/>
          </w:tcPr>
          <w:p w14:paraId="264A6C9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18</w:t>
            </w:r>
          </w:p>
        </w:tc>
        <w:tc>
          <w:tcPr>
            <w:tcW w:w="1232" w:type="dxa"/>
            <w:noWrap/>
          </w:tcPr>
          <w:p w14:paraId="1033CFB2"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11%</w:t>
            </w:r>
          </w:p>
        </w:tc>
      </w:tr>
      <w:tr w:rsidR="002D6E7B" w:rsidRPr="003C08B5" w14:paraId="0D73BBE7" w14:textId="77777777" w:rsidTr="00B10C48">
        <w:trPr>
          <w:trHeight w:val="226"/>
        </w:trPr>
        <w:tc>
          <w:tcPr>
            <w:tcW w:w="2092" w:type="dxa"/>
            <w:noWrap/>
            <w:hideMark/>
          </w:tcPr>
          <w:p w14:paraId="38EA2BB8"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Not-for-profit</w:t>
            </w:r>
          </w:p>
        </w:tc>
        <w:tc>
          <w:tcPr>
            <w:tcW w:w="1416" w:type="dxa"/>
            <w:noWrap/>
          </w:tcPr>
          <w:p w14:paraId="0A9BFBF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14</w:t>
            </w:r>
          </w:p>
        </w:tc>
        <w:tc>
          <w:tcPr>
            <w:tcW w:w="1418" w:type="dxa"/>
            <w:noWrap/>
          </w:tcPr>
          <w:p w14:paraId="1D1D6568"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18</w:t>
            </w:r>
          </w:p>
        </w:tc>
        <w:tc>
          <w:tcPr>
            <w:tcW w:w="1281" w:type="dxa"/>
            <w:noWrap/>
          </w:tcPr>
          <w:p w14:paraId="0BC80F3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78%</w:t>
            </w:r>
          </w:p>
        </w:tc>
        <w:tc>
          <w:tcPr>
            <w:tcW w:w="1417" w:type="dxa"/>
            <w:noWrap/>
          </w:tcPr>
          <w:p w14:paraId="14FD637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13</w:t>
            </w:r>
          </w:p>
        </w:tc>
        <w:tc>
          <w:tcPr>
            <w:tcW w:w="1466" w:type="dxa"/>
            <w:noWrap/>
          </w:tcPr>
          <w:p w14:paraId="57DC961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18</w:t>
            </w:r>
          </w:p>
        </w:tc>
        <w:tc>
          <w:tcPr>
            <w:tcW w:w="1232" w:type="dxa"/>
            <w:noWrap/>
          </w:tcPr>
          <w:p w14:paraId="447667A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72%</w:t>
            </w:r>
          </w:p>
        </w:tc>
      </w:tr>
      <w:tr w:rsidR="002D6E7B" w:rsidRPr="003C08B5" w14:paraId="69C769EC" w14:textId="77777777" w:rsidTr="00B10C48">
        <w:trPr>
          <w:trHeight w:val="226"/>
        </w:trPr>
        <w:tc>
          <w:tcPr>
            <w:tcW w:w="2092" w:type="dxa"/>
            <w:noWrap/>
          </w:tcPr>
          <w:p w14:paraId="2BFC49E9" w14:textId="77777777" w:rsidR="002D6E7B" w:rsidRPr="003C08B5" w:rsidRDefault="002D6E7B" w:rsidP="00B10C48">
            <w:pPr>
              <w:rPr>
                <w:rFonts w:ascii="Arial" w:hAnsi="Arial" w:cs="Arial"/>
                <w:b/>
                <w:bCs/>
                <w:color w:val="auto"/>
                <w:sz w:val="20"/>
                <w:szCs w:val="20"/>
                <w:lang w:eastAsia="en-GB"/>
              </w:rPr>
            </w:pPr>
            <w:r w:rsidRPr="003C08B5">
              <w:rPr>
                <w:rFonts w:ascii="Arial" w:hAnsi="Arial" w:cs="Arial"/>
                <w:b/>
                <w:bCs/>
                <w:color w:val="auto"/>
                <w:sz w:val="20"/>
                <w:szCs w:val="20"/>
                <w:lang w:eastAsia="en-GB"/>
              </w:rPr>
              <w:t>Build status</w:t>
            </w:r>
          </w:p>
        </w:tc>
        <w:tc>
          <w:tcPr>
            <w:tcW w:w="1416" w:type="dxa"/>
            <w:noWrap/>
          </w:tcPr>
          <w:p w14:paraId="08AC43F1"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53B7354A"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36842F53"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08185C05"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298EEFA1"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6B8BB5B9"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6488499A" w14:textId="77777777" w:rsidTr="00B10C48">
        <w:trPr>
          <w:trHeight w:val="226"/>
        </w:trPr>
        <w:tc>
          <w:tcPr>
            <w:tcW w:w="2092" w:type="dxa"/>
            <w:noWrap/>
            <w:hideMark/>
          </w:tcPr>
          <w:p w14:paraId="22377C58"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Purpose built</w:t>
            </w:r>
          </w:p>
        </w:tc>
        <w:tc>
          <w:tcPr>
            <w:tcW w:w="1416" w:type="dxa"/>
            <w:noWrap/>
          </w:tcPr>
          <w:p w14:paraId="45AA0E3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23</w:t>
            </w:r>
          </w:p>
        </w:tc>
        <w:tc>
          <w:tcPr>
            <w:tcW w:w="1418" w:type="dxa"/>
            <w:noWrap/>
          </w:tcPr>
          <w:p w14:paraId="27F124EF"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42</w:t>
            </w:r>
          </w:p>
        </w:tc>
        <w:tc>
          <w:tcPr>
            <w:tcW w:w="1281" w:type="dxa"/>
            <w:noWrap/>
          </w:tcPr>
          <w:p w14:paraId="6922B87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55%</w:t>
            </w:r>
          </w:p>
        </w:tc>
        <w:tc>
          <w:tcPr>
            <w:tcW w:w="1417" w:type="dxa"/>
            <w:noWrap/>
          </w:tcPr>
          <w:p w14:paraId="740ABC2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11</w:t>
            </w:r>
          </w:p>
        </w:tc>
        <w:tc>
          <w:tcPr>
            <w:tcW w:w="1466" w:type="dxa"/>
            <w:noWrap/>
          </w:tcPr>
          <w:p w14:paraId="5AE16D6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11</w:t>
            </w:r>
          </w:p>
        </w:tc>
        <w:tc>
          <w:tcPr>
            <w:tcW w:w="1232" w:type="dxa"/>
            <w:noWrap/>
          </w:tcPr>
          <w:p w14:paraId="152FC43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100%</w:t>
            </w:r>
          </w:p>
        </w:tc>
      </w:tr>
      <w:tr w:rsidR="002D6E7B" w:rsidRPr="003C08B5" w14:paraId="74C99925" w14:textId="77777777" w:rsidTr="00B10C48">
        <w:trPr>
          <w:trHeight w:val="226"/>
        </w:trPr>
        <w:tc>
          <w:tcPr>
            <w:tcW w:w="2092" w:type="dxa"/>
            <w:noWrap/>
            <w:hideMark/>
          </w:tcPr>
          <w:p w14:paraId="5B7C72EF"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Not purpose built</w:t>
            </w:r>
          </w:p>
        </w:tc>
        <w:tc>
          <w:tcPr>
            <w:tcW w:w="1416" w:type="dxa"/>
            <w:noWrap/>
          </w:tcPr>
          <w:p w14:paraId="50521A6F"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w:t>
            </w:r>
          </w:p>
        </w:tc>
        <w:tc>
          <w:tcPr>
            <w:tcW w:w="1418" w:type="dxa"/>
            <w:noWrap/>
          </w:tcPr>
          <w:p w14:paraId="78CCE578"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33</w:t>
            </w:r>
          </w:p>
        </w:tc>
        <w:tc>
          <w:tcPr>
            <w:tcW w:w="1281" w:type="dxa"/>
            <w:noWrap/>
          </w:tcPr>
          <w:p w14:paraId="678C21E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15%</w:t>
            </w:r>
          </w:p>
        </w:tc>
        <w:tc>
          <w:tcPr>
            <w:tcW w:w="1417" w:type="dxa"/>
            <w:noWrap/>
          </w:tcPr>
          <w:p w14:paraId="05FE92B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66" w:type="dxa"/>
            <w:noWrap/>
          </w:tcPr>
          <w:p w14:paraId="124E1AA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25</w:t>
            </w:r>
          </w:p>
        </w:tc>
        <w:tc>
          <w:tcPr>
            <w:tcW w:w="1232" w:type="dxa"/>
            <w:noWrap/>
          </w:tcPr>
          <w:p w14:paraId="5960E1F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w:t>
            </w:r>
          </w:p>
        </w:tc>
      </w:tr>
      <w:tr w:rsidR="002D6E7B" w:rsidRPr="003C08B5" w14:paraId="5A981F38" w14:textId="77777777" w:rsidTr="00B10C48">
        <w:trPr>
          <w:trHeight w:val="226"/>
        </w:trPr>
        <w:tc>
          <w:tcPr>
            <w:tcW w:w="2092" w:type="dxa"/>
            <w:noWrap/>
          </w:tcPr>
          <w:p w14:paraId="7505072A" w14:textId="77777777" w:rsidR="002D6E7B" w:rsidRPr="003C08B5" w:rsidRDefault="002D6E7B" w:rsidP="00B10C48">
            <w:pPr>
              <w:rPr>
                <w:rFonts w:ascii="Arial" w:hAnsi="Arial" w:cs="Arial"/>
                <w:b/>
                <w:bCs/>
                <w:color w:val="auto"/>
                <w:sz w:val="20"/>
                <w:szCs w:val="20"/>
                <w:lang w:eastAsia="en-GB"/>
              </w:rPr>
            </w:pPr>
            <w:r w:rsidRPr="003C08B5">
              <w:rPr>
                <w:rFonts w:ascii="Arial" w:hAnsi="Arial" w:cs="Arial"/>
                <w:b/>
                <w:bCs/>
                <w:color w:val="auto"/>
                <w:sz w:val="20"/>
                <w:szCs w:val="20"/>
                <w:lang w:eastAsia="en-GB"/>
              </w:rPr>
              <w:lastRenderedPageBreak/>
              <w:t>Operator scale</w:t>
            </w:r>
          </w:p>
        </w:tc>
        <w:tc>
          <w:tcPr>
            <w:tcW w:w="1416" w:type="dxa"/>
            <w:noWrap/>
          </w:tcPr>
          <w:p w14:paraId="5CF0D7A8"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1E8E3C8C"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51B58BA5"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3CBB090A"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6E56A523"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0D0A2E1F"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26A5FCD0" w14:textId="77777777" w:rsidTr="00B10C48">
        <w:trPr>
          <w:trHeight w:val="226"/>
        </w:trPr>
        <w:tc>
          <w:tcPr>
            <w:tcW w:w="2092" w:type="dxa"/>
            <w:noWrap/>
            <w:hideMark/>
          </w:tcPr>
          <w:p w14:paraId="18F29DE2"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 xml:space="preserve">Large corporate group </w:t>
            </w:r>
            <w:r w:rsidRPr="003C08B5">
              <w:rPr>
                <w:rFonts w:ascii="Arial" w:hAnsi="Arial" w:cs="Arial"/>
                <w:color w:val="auto"/>
                <w:sz w:val="20"/>
                <w:szCs w:val="20"/>
                <w:vertAlign w:val="superscript"/>
                <w:lang w:eastAsia="en-GB"/>
              </w:rPr>
              <w:t>1</w:t>
            </w:r>
          </w:p>
        </w:tc>
        <w:tc>
          <w:tcPr>
            <w:tcW w:w="1416" w:type="dxa"/>
            <w:noWrap/>
          </w:tcPr>
          <w:p w14:paraId="2E9FA83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34</w:t>
            </w:r>
          </w:p>
        </w:tc>
        <w:tc>
          <w:tcPr>
            <w:tcW w:w="1418" w:type="dxa"/>
            <w:noWrap/>
          </w:tcPr>
          <w:p w14:paraId="3E0519E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36 </w:t>
            </w:r>
          </w:p>
        </w:tc>
        <w:tc>
          <w:tcPr>
            <w:tcW w:w="1281" w:type="dxa"/>
            <w:noWrap/>
          </w:tcPr>
          <w:p w14:paraId="64BF772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94%</w:t>
            </w:r>
          </w:p>
        </w:tc>
        <w:tc>
          <w:tcPr>
            <w:tcW w:w="1417" w:type="dxa"/>
            <w:noWrap/>
          </w:tcPr>
          <w:p w14:paraId="204BE566"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12</w:t>
            </w:r>
          </w:p>
        </w:tc>
        <w:tc>
          <w:tcPr>
            <w:tcW w:w="1466" w:type="dxa"/>
            <w:noWrap/>
          </w:tcPr>
          <w:p w14:paraId="1AAC2AB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13 </w:t>
            </w:r>
          </w:p>
        </w:tc>
        <w:tc>
          <w:tcPr>
            <w:tcW w:w="1232" w:type="dxa"/>
            <w:noWrap/>
          </w:tcPr>
          <w:p w14:paraId="59EE50F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92%</w:t>
            </w:r>
          </w:p>
        </w:tc>
      </w:tr>
      <w:tr w:rsidR="002D6E7B" w:rsidRPr="003C08B5" w14:paraId="0827AD2B" w14:textId="77777777" w:rsidTr="00B10C48">
        <w:trPr>
          <w:trHeight w:val="226"/>
        </w:trPr>
        <w:tc>
          <w:tcPr>
            <w:tcW w:w="2092" w:type="dxa"/>
            <w:noWrap/>
            <w:hideMark/>
          </w:tcPr>
          <w:p w14:paraId="48E0778D"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Medium group</w:t>
            </w:r>
            <w:r w:rsidRPr="003C08B5">
              <w:rPr>
                <w:rFonts w:ascii="Arial" w:hAnsi="Arial" w:cs="Arial"/>
                <w:color w:val="auto"/>
                <w:sz w:val="20"/>
                <w:szCs w:val="20"/>
                <w:vertAlign w:val="superscript"/>
                <w:lang w:eastAsia="en-GB"/>
              </w:rPr>
              <w:t xml:space="preserve"> 2</w:t>
            </w:r>
          </w:p>
        </w:tc>
        <w:tc>
          <w:tcPr>
            <w:tcW w:w="1416" w:type="dxa"/>
            <w:noWrap/>
          </w:tcPr>
          <w:p w14:paraId="66573AB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w:t>
            </w:r>
          </w:p>
        </w:tc>
        <w:tc>
          <w:tcPr>
            <w:tcW w:w="1418" w:type="dxa"/>
            <w:noWrap/>
          </w:tcPr>
          <w:p w14:paraId="3B740D7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18 </w:t>
            </w:r>
          </w:p>
        </w:tc>
        <w:tc>
          <w:tcPr>
            <w:tcW w:w="1281" w:type="dxa"/>
            <w:noWrap/>
          </w:tcPr>
          <w:p w14:paraId="6E3574A8"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17%</w:t>
            </w:r>
          </w:p>
        </w:tc>
        <w:tc>
          <w:tcPr>
            <w:tcW w:w="1417" w:type="dxa"/>
            <w:noWrap/>
          </w:tcPr>
          <w:p w14:paraId="13C9367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66" w:type="dxa"/>
            <w:noWrap/>
          </w:tcPr>
          <w:p w14:paraId="293C0AC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3 </w:t>
            </w:r>
          </w:p>
        </w:tc>
        <w:tc>
          <w:tcPr>
            <w:tcW w:w="1232" w:type="dxa"/>
            <w:noWrap/>
          </w:tcPr>
          <w:p w14:paraId="7F76B5C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33%</w:t>
            </w:r>
          </w:p>
        </w:tc>
      </w:tr>
      <w:tr w:rsidR="002D6E7B" w:rsidRPr="003C08B5" w14:paraId="33B9FDB2" w14:textId="77777777" w:rsidTr="00B10C48">
        <w:trPr>
          <w:trHeight w:val="226"/>
        </w:trPr>
        <w:tc>
          <w:tcPr>
            <w:tcW w:w="2092" w:type="dxa"/>
            <w:noWrap/>
            <w:hideMark/>
          </w:tcPr>
          <w:p w14:paraId="752B0E6E"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 xml:space="preserve">Small group or independent </w:t>
            </w:r>
            <w:r w:rsidRPr="003C08B5">
              <w:rPr>
                <w:rFonts w:ascii="Arial" w:hAnsi="Arial" w:cs="Arial"/>
                <w:color w:val="auto"/>
                <w:sz w:val="20"/>
                <w:szCs w:val="20"/>
                <w:vertAlign w:val="superscript"/>
                <w:lang w:eastAsia="en-GB"/>
              </w:rPr>
              <w:t>3</w:t>
            </w:r>
          </w:p>
        </w:tc>
        <w:tc>
          <w:tcPr>
            <w:tcW w:w="1416" w:type="dxa"/>
            <w:noWrap/>
          </w:tcPr>
          <w:p w14:paraId="0FD57A9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w:t>
            </w:r>
          </w:p>
        </w:tc>
        <w:tc>
          <w:tcPr>
            <w:tcW w:w="1418" w:type="dxa"/>
            <w:noWrap/>
          </w:tcPr>
          <w:p w14:paraId="0BCBAFA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21 </w:t>
            </w:r>
          </w:p>
        </w:tc>
        <w:tc>
          <w:tcPr>
            <w:tcW w:w="1281" w:type="dxa"/>
            <w:noWrap/>
          </w:tcPr>
          <w:p w14:paraId="201F064B"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19%</w:t>
            </w:r>
          </w:p>
        </w:tc>
        <w:tc>
          <w:tcPr>
            <w:tcW w:w="1417" w:type="dxa"/>
            <w:noWrap/>
          </w:tcPr>
          <w:p w14:paraId="6141368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w:t>
            </w:r>
          </w:p>
        </w:tc>
        <w:tc>
          <w:tcPr>
            <w:tcW w:w="1466" w:type="dxa"/>
            <w:noWrap/>
          </w:tcPr>
          <w:p w14:paraId="1DD687C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20 </w:t>
            </w:r>
          </w:p>
        </w:tc>
        <w:tc>
          <w:tcPr>
            <w:tcW w:w="1232" w:type="dxa"/>
            <w:noWrap/>
          </w:tcPr>
          <w:p w14:paraId="4A22CA5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10%</w:t>
            </w:r>
          </w:p>
        </w:tc>
      </w:tr>
      <w:tr w:rsidR="002D6E7B" w:rsidRPr="003C08B5" w14:paraId="05B00EFA" w14:textId="77777777" w:rsidTr="00B10C48">
        <w:trPr>
          <w:trHeight w:val="226"/>
        </w:trPr>
        <w:tc>
          <w:tcPr>
            <w:tcW w:w="2092" w:type="dxa"/>
            <w:noWrap/>
          </w:tcPr>
          <w:p w14:paraId="01465A14" w14:textId="77777777" w:rsidR="002D6E7B" w:rsidRPr="003C08B5" w:rsidRDefault="002D6E7B" w:rsidP="00B10C48">
            <w:pPr>
              <w:rPr>
                <w:rFonts w:ascii="Arial" w:hAnsi="Arial" w:cs="Arial"/>
                <w:color w:val="auto"/>
                <w:sz w:val="20"/>
                <w:szCs w:val="20"/>
                <w:lang w:eastAsia="en-GB"/>
              </w:rPr>
            </w:pPr>
            <w:r w:rsidRPr="003C08B5">
              <w:rPr>
                <w:rFonts w:ascii="Arial" w:hAnsi="Arial" w:cs="Arial"/>
                <w:b/>
                <w:bCs/>
                <w:color w:val="auto"/>
                <w:sz w:val="20"/>
                <w:szCs w:val="20"/>
                <w:lang w:eastAsia="en-GB"/>
              </w:rPr>
              <w:t>Service scale</w:t>
            </w:r>
          </w:p>
        </w:tc>
        <w:tc>
          <w:tcPr>
            <w:tcW w:w="1416" w:type="dxa"/>
            <w:noWrap/>
          </w:tcPr>
          <w:p w14:paraId="02FA5E87"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5A09096E"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27BBA2A1"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645AC7AA"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09AAA20C"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72175F4D"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698E8CDB" w14:textId="77777777" w:rsidTr="00B10C48">
        <w:trPr>
          <w:trHeight w:val="226"/>
        </w:trPr>
        <w:tc>
          <w:tcPr>
            <w:tcW w:w="2092" w:type="dxa"/>
            <w:noWrap/>
            <w:hideMark/>
          </w:tcPr>
          <w:p w14:paraId="4E3B45FD" w14:textId="77777777" w:rsidR="002D6E7B"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Large service scale</w:t>
            </w:r>
          </w:p>
          <w:p w14:paraId="52F8EB74"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( 50+ beds)</w:t>
            </w:r>
          </w:p>
        </w:tc>
        <w:tc>
          <w:tcPr>
            <w:tcW w:w="1416" w:type="dxa"/>
            <w:noWrap/>
          </w:tcPr>
          <w:p w14:paraId="326D943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30</w:t>
            </w:r>
          </w:p>
        </w:tc>
        <w:tc>
          <w:tcPr>
            <w:tcW w:w="1418" w:type="dxa"/>
            <w:noWrap/>
          </w:tcPr>
          <w:p w14:paraId="30DCAC7F"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47 </w:t>
            </w:r>
          </w:p>
        </w:tc>
        <w:tc>
          <w:tcPr>
            <w:tcW w:w="1281" w:type="dxa"/>
            <w:noWrap/>
          </w:tcPr>
          <w:p w14:paraId="1CD250C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64%</w:t>
            </w:r>
          </w:p>
        </w:tc>
        <w:tc>
          <w:tcPr>
            <w:tcW w:w="1417" w:type="dxa"/>
            <w:noWrap/>
          </w:tcPr>
          <w:p w14:paraId="4B72284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w:t>
            </w:r>
          </w:p>
        </w:tc>
        <w:tc>
          <w:tcPr>
            <w:tcW w:w="1466" w:type="dxa"/>
            <w:noWrap/>
          </w:tcPr>
          <w:p w14:paraId="757F1B6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4 </w:t>
            </w:r>
          </w:p>
        </w:tc>
        <w:tc>
          <w:tcPr>
            <w:tcW w:w="1232" w:type="dxa"/>
            <w:noWrap/>
          </w:tcPr>
          <w:p w14:paraId="284B3DC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50%</w:t>
            </w:r>
          </w:p>
        </w:tc>
      </w:tr>
      <w:tr w:rsidR="002D6E7B" w:rsidRPr="003C08B5" w14:paraId="0CAD8716" w14:textId="77777777" w:rsidTr="00B10C48">
        <w:trPr>
          <w:trHeight w:val="226"/>
        </w:trPr>
        <w:tc>
          <w:tcPr>
            <w:tcW w:w="2092" w:type="dxa"/>
            <w:noWrap/>
            <w:hideMark/>
          </w:tcPr>
          <w:p w14:paraId="1CBE8DEB"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Medium service scale( 20-49 beds)</w:t>
            </w:r>
          </w:p>
        </w:tc>
        <w:tc>
          <w:tcPr>
            <w:tcW w:w="1416" w:type="dxa"/>
            <w:noWrap/>
          </w:tcPr>
          <w:p w14:paraId="55573A7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10</w:t>
            </w:r>
          </w:p>
        </w:tc>
        <w:tc>
          <w:tcPr>
            <w:tcW w:w="1418" w:type="dxa"/>
            <w:noWrap/>
          </w:tcPr>
          <w:p w14:paraId="0E6B267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27 </w:t>
            </w:r>
          </w:p>
        </w:tc>
        <w:tc>
          <w:tcPr>
            <w:tcW w:w="1281" w:type="dxa"/>
            <w:noWrap/>
          </w:tcPr>
          <w:p w14:paraId="3FAED23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37%</w:t>
            </w:r>
          </w:p>
        </w:tc>
        <w:tc>
          <w:tcPr>
            <w:tcW w:w="1417" w:type="dxa"/>
            <w:noWrap/>
          </w:tcPr>
          <w:p w14:paraId="30C4141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12</w:t>
            </w:r>
          </w:p>
        </w:tc>
        <w:tc>
          <w:tcPr>
            <w:tcW w:w="1466" w:type="dxa"/>
            <w:noWrap/>
          </w:tcPr>
          <w:p w14:paraId="6D42F34B"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27 </w:t>
            </w:r>
          </w:p>
        </w:tc>
        <w:tc>
          <w:tcPr>
            <w:tcW w:w="1232" w:type="dxa"/>
            <w:noWrap/>
          </w:tcPr>
          <w:p w14:paraId="3C7C6EA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44%</w:t>
            </w:r>
          </w:p>
        </w:tc>
      </w:tr>
      <w:tr w:rsidR="002D6E7B" w:rsidRPr="003C08B5" w14:paraId="4D4D1D64" w14:textId="77777777" w:rsidTr="00B10C48">
        <w:trPr>
          <w:trHeight w:val="226"/>
        </w:trPr>
        <w:tc>
          <w:tcPr>
            <w:tcW w:w="2092" w:type="dxa"/>
            <w:noWrap/>
            <w:hideMark/>
          </w:tcPr>
          <w:p w14:paraId="782413FB"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Small service scale (&lt;20 beds)</w:t>
            </w:r>
          </w:p>
        </w:tc>
        <w:tc>
          <w:tcPr>
            <w:tcW w:w="1416" w:type="dxa"/>
            <w:noWrap/>
          </w:tcPr>
          <w:p w14:paraId="1B1F7ED8"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18" w:type="dxa"/>
            <w:noWrap/>
          </w:tcPr>
          <w:p w14:paraId="2251E54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 </w:t>
            </w:r>
          </w:p>
        </w:tc>
        <w:tc>
          <w:tcPr>
            <w:tcW w:w="1281" w:type="dxa"/>
            <w:noWrap/>
          </w:tcPr>
          <w:p w14:paraId="3AD5D99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100%</w:t>
            </w:r>
          </w:p>
        </w:tc>
        <w:tc>
          <w:tcPr>
            <w:tcW w:w="1417" w:type="dxa"/>
            <w:noWrap/>
          </w:tcPr>
          <w:p w14:paraId="3908646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66" w:type="dxa"/>
            <w:noWrap/>
          </w:tcPr>
          <w:p w14:paraId="1201476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5 </w:t>
            </w:r>
          </w:p>
        </w:tc>
        <w:tc>
          <w:tcPr>
            <w:tcW w:w="1232" w:type="dxa"/>
            <w:noWrap/>
          </w:tcPr>
          <w:p w14:paraId="561DB8F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20%</w:t>
            </w:r>
          </w:p>
        </w:tc>
      </w:tr>
      <w:tr w:rsidR="002D6E7B" w:rsidRPr="003C08B5" w14:paraId="21DC05DB" w14:textId="77777777" w:rsidTr="00B10C48">
        <w:trPr>
          <w:trHeight w:val="226"/>
        </w:trPr>
        <w:tc>
          <w:tcPr>
            <w:tcW w:w="2092" w:type="dxa"/>
            <w:noWrap/>
          </w:tcPr>
          <w:p w14:paraId="226D5A60" w14:textId="77777777" w:rsidR="002D6E7B" w:rsidRPr="003C08B5" w:rsidRDefault="002D6E7B" w:rsidP="00B10C48">
            <w:pPr>
              <w:rPr>
                <w:rFonts w:ascii="Arial" w:hAnsi="Arial" w:cs="Arial"/>
                <w:b/>
                <w:bCs/>
                <w:color w:val="auto"/>
                <w:sz w:val="20"/>
                <w:szCs w:val="20"/>
                <w:lang w:eastAsia="en-GB"/>
              </w:rPr>
            </w:pPr>
            <w:r w:rsidRPr="003C08B5">
              <w:rPr>
                <w:rFonts w:ascii="Arial" w:hAnsi="Arial" w:cs="Arial"/>
                <w:b/>
                <w:bCs/>
                <w:color w:val="auto"/>
                <w:sz w:val="20"/>
                <w:szCs w:val="20"/>
                <w:lang w:eastAsia="en-GB"/>
              </w:rPr>
              <w:t>CQC ratings</w:t>
            </w:r>
          </w:p>
        </w:tc>
        <w:tc>
          <w:tcPr>
            <w:tcW w:w="1416" w:type="dxa"/>
            <w:noWrap/>
          </w:tcPr>
          <w:p w14:paraId="5830CE92"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63718BA2"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1606A277"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17937631"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0F29E9CE"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55FB398F"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2B6DBC07" w14:textId="77777777" w:rsidTr="00B10C48">
        <w:trPr>
          <w:trHeight w:val="226"/>
        </w:trPr>
        <w:tc>
          <w:tcPr>
            <w:tcW w:w="2092" w:type="dxa"/>
            <w:noWrap/>
            <w:hideMark/>
          </w:tcPr>
          <w:p w14:paraId="10D97369"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Good or Outstanding</w:t>
            </w:r>
          </w:p>
        </w:tc>
        <w:tc>
          <w:tcPr>
            <w:tcW w:w="1416" w:type="dxa"/>
            <w:noWrap/>
          </w:tcPr>
          <w:p w14:paraId="012D364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39</w:t>
            </w:r>
          </w:p>
        </w:tc>
        <w:tc>
          <w:tcPr>
            <w:tcW w:w="1418" w:type="dxa"/>
            <w:noWrap/>
          </w:tcPr>
          <w:p w14:paraId="3E86E41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68 </w:t>
            </w:r>
          </w:p>
        </w:tc>
        <w:tc>
          <w:tcPr>
            <w:tcW w:w="1281" w:type="dxa"/>
            <w:noWrap/>
          </w:tcPr>
          <w:p w14:paraId="57E8C14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57%</w:t>
            </w:r>
          </w:p>
        </w:tc>
        <w:tc>
          <w:tcPr>
            <w:tcW w:w="1417" w:type="dxa"/>
            <w:noWrap/>
          </w:tcPr>
          <w:p w14:paraId="174AFF2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14</w:t>
            </w:r>
          </w:p>
        </w:tc>
        <w:tc>
          <w:tcPr>
            <w:tcW w:w="1466" w:type="dxa"/>
            <w:noWrap/>
          </w:tcPr>
          <w:p w14:paraId="332B76E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32 </w:t>
            </w:r>
          </w:p>
        </w:tc>
        <w:tc>
          <w:tcPr>
            <w:tcW w:w="1232" w:type="dxa"/>
            <w:noWrap/>
          </w:tcPr>
          <w:p w14:paraId="257C44F2"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44%</w:t>
            </w:r>
          </w:p>
        </w:tc>
      </w:tr>
      <w:tr w:rsidR="002D6E7B" w:rsidRPr="003C08B5" w14:paraId="18F33596" w14:textId="77777777" w:rsidTr="00B10C48">
        <w:trPr>
          <w:trHeight w:val="226"/>
        </w:trPr>
        <w:tc>
          <w:tcPr>
            <w:tcW w:w="2092" w:type="dxa"/>
            <w:noWrap/>
            <w:hideMark/>
          </w:tcPr>
          <w:p w14:paraId="2BD3104B"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lang w:eastAsia="en-GB"/>
              </w:rPr>
              <w:t>Not Good or Outstanding</w:t>
            </w:r>
          </w:p>
        </w:tc>
        <w:tc>
          <w:tcPr>
            <w:tcW w:w="1416" w:type="dxa"/>
            <w:noWrap/>
          </w:tcPr>
          <w:p w14:paraId="5B24C61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18" w:type="dxa"/>
            <w:noWrap/>
          </w:tcPr>
          <w:p w14:paraId="2CD14192"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3 </w:t>
            </w:r>
          </w:p>
        </w:tc>
        <w:tc>
          <w:tcPr>
            <w:tcW w:w="1281" w:type="dxa"/>
            <w:noWrap/>
          </w:tcPr>
          <w:p w14:paraId="72CD3B4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33%</w:t>
            </w:r>
          </w:p>
        </w:tc>
        <w:tc>
          <w:tcPr>
            <w:tcW w:w="1417" w:type="dxa"/>
            <w:noWrap/>
          </w:tcPr>
          <w:p w14:paraId="466715D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w:t>
            </w:r>
          </w:p>
        </w:tc>
        <w:tc>
          <w:tcPr>
            <w:tcW w:w="1466" w:type="dxa"/>
            <w:noWrap/>
          </w:tcPr>
          <w:p w14:paraId="7BBCA74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4 </w:t>
            </w:r>
          </w:p>
        </w:tc>
        <w:tc>
          <w:tcPr>
            <w:tcW w:w="1232" w:type="dxa"/>
            <w:noWrap/>
          </w:tcPr>
          <w:p w14:paraId="0F6B0D8B"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25%</w:t>
            </w:r>
          </w:p>
        </w:tc>
      </w:tr>
      <w:tr w:rsidR="002D6E7B" w:rsidRPr="003C08B5" w14:paraId="244427A0" w14:textId="77777777" w:rsidTr="00B10C48">
        <w:trPr>
          <w:trHeight w:val="226"/>
        </w:trPr>
        <w:tc>
          <w:tcPr>
            <w:tcW w:w="2092" w:type="dxa"/>
            <w:noWrap/>
          </w:tcPr>
          <w:p w14:paraId="455B75C9" w14:textId="77777777" w:rsidR="002D6E7B" w:rsidRPr="003C08B5" w:rsidRDefault="002D6E7B" w:rsidP="00B10C48">
            <w:pPr>
              <w:rPr>
                <w:rFonts w:ascii="Arial" w:hAnsi="Arial" w:cs="Arial"/>
                <w:b/>
                <w:bCs/>
                <w:color w:val="auto"/>
                <w:sz w:val="20"/>
                <w:szCs w:val="20"/>
                <w:lang w:eastAsia="en-GB"/>
              </w:rPr>
            </w:pPr>
            <w:r w:rsidRPr="003C08B5">
              <w:rPr>
                <w:rFonts w:ascii="Arial" w:hAnsi="Arial" w:cs="Arial"/>
                <w:b/>
                <w:bCs/>
                <w:color w:val="auto"/>
                <w:sz w:val="20"/>
                <w:szCs w:val="20"/>
                <w:lang w:eastAsia="en-GB"/>
              </w:rPr>
              <w:t>District Council (Counties only)</w:t>
            </w:r>
          </w:p>
        </w:tc>
        <w:tc>
          <w:tcPr>
            <w:tcW w:w="1416" w:type="dxa"/>
            <w:noWrap/>
          </w:tcPr>
          <w:p w14:paraId="60C285FF" w14:textId="77777777" w:rsidR="002D6E7B" w:rsidRPr="003C08B5" w:rsidRDefault="002D6E7B" w:rsidP="00B10C48">
            <w:pPr>
              <w:jc w:val="center"/>
              <w:rPr>
                <w:rFonts w:ascii="Arial" w:hAnsi="Arial" w:cs="Arial"/>
                <w:color w:val="auto"/>
                <w:sz w:val="20"/>
                <w:szCs w:val="20"/>
                <w:lang w:eastAsia="en-GB"/>
              </w:rPr>
            </w:pPr>
          </w:p>
        </w:tc>
        <w:tc>
          <w:tcPr>
            <w:tcW w:w="1418" w:type="dxa"/>
            <w:noWrap/>
          </w:tcPr>
          <w:p w14:paraId="219B69A5" w14:textId="77777777" w:rsidR="002D6E7B" w:rsidRPr="003C08B5" w:rsidRDefault="002D6E7B" w:rsidP="00B10C48">
            <w:pPr>
              <w:jc w:val="center"/>
              <w:rPr>
                <w:rFonts w:ascii="Arial" w:hAnsi="Arial" w:cs="Arial"/>
                <w:color w:val="auto"/>
                <w:sz w:val="20"/>
                <w:szCs w:val="20"/>
                <w:lang w:eastAsia="en-GB"/>
              </w:rPr>
            </w:pPr>
          </w:p>
        </w:tc>
        <w:tc>
          <w:tcPr>
            <w:tcW w:w="1281" w:type="dxa"/>
            <w:noWrap/>
          </w:tcPr>
          <w:p w14:paraId="6230A8E5" w14:textId="77777777" w:rsidR="002D6E7B" w:rsidRPr="003C08B5" w:rsidRDefault="002D6E7B" w:rsidP="00B10C48">
            <w:pPr>
              <w:jc w:val="center"/>
              <w:rPr>
                <w:rFonts w:ascii="Arial" w:hAnsi="Arial" w:cs="Arial"/>
                <w:color w:val="auto"/>
                <w:sz w:val="20"/>
                <w:szCs w:val="20"/>
                <w:lang w:eastAsia="en-GB"/>
              </w:rPr>
            </w:pPr>
          </w:p>
        </w:tc>
        <w:tc>
          <w:tcPr>
            <w:tcW w:w="1417" w:type="dxa"/>
            <w:noWrap/>
          </w:tcPr>
          <w:p w14:paraId="7FCC3DBE" w14:textId="77777777" w:rsidR="002D6E7B" w:rsidRPr="003C08B5" w:rsidRDefault="002D6E7B" w:rsidP="00B10C48">
            <w:pPr>
              <w:jc w:val="center"/>
              <w:rPr>
                <w:rFonts w:ascii="Arial" w:hAnsi="Arial" w:cs="Arial"/>
                <w:color w:val="auto"/>
                <w:sz w:val="20"/>
                <w:szCs w:val="20"/>
                <w:lang w:eastAsia="en-GB"/>
              </w:rPr>
            </w:pPr>
          </w:p>
        </w:tc>
        <w:tc>
          <w:tcPr>
            <w:tcW w:w="1466" w:type="dxa"/>
            <w:noWrap/>
          </w:tcPr>
          <w:p w14:paraId="59699915" w14:textId="77777777" w:rsidR="002D6E7B" w:rsidRPr="003C08B5" w:rsidRDefault="002D6E7B" w:rsidP="00B10C48">
            <w:pPr>
              <w:jc w:val="center"/>
              <w:rPr>
                <w:rFonts w:ascii="Arial" w:hAnsi="Arial" w:cs="Arial"/>
                <w:color w:val="auto"/>
                <w:sz w:val="20"/>
                <w:szCs w:val="20"/>
                <w:lang w:eastAsia="en-GB"/>
              </w:rPr>
            </w:pPr>
          </w:p>
        </w:tc>
        <w:tc>
          <w:tcPr>
            <w:tcW w:w="1232" w:type="dxa"/>
            <w:noWrap/>
          </w:tcPr>
          <w:p w14:paraId="4322AC98" w14:textId="77777777" w:rsidR="002D6E7B" w:rsidRPr="003C08B5" w:rsidRDefault="002D6E7B" w:rsidP="00B10C48">
            <w:pPr>
              <w:jc w:val="center"/>
              <w:rPr>
                <w:rFonts w:ascii="Arial" w:hAnsi="Arial" w:cs="Arial"/>
                <w:color w:val="auto"/>
                <w:sz w:val="20"/>
                <w:szCs w:val="20"/>
                <w:lang w:eastAsia="en-GB"/>
              </w:rPr>
            </w:pPr>
          </w:p>
        </w:tc>
      </w:tr>
      <w:tr w:rsidR="002D6E7B" w:rsidRPr="003C08B5" w14:paraId="0BC7445B" w14:textId="77777777" w:rsidTr="00B10C48">
        <w:trPr>
          <w:trHeight w:val="226"/>
        </w:trPr>
        <w:tc>
          <w:tcPr>
            <w:tcW w:w="2092" w:type="dxa"/>
            <w:noWrap/>
            <w:hideMark/>
          </w:tcPr>
          <w:p w14:paraId="65B0E7E2"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rPr>
              <w:t>Cherwell District Council</w:t>
            </w:r>
          </w:p>
        </w:tc>
        <w:tc>
          <w:tcPr>
            <w:tcW w:w="1416" w:type="dxa"/>
            <w:noWrap/>
          </w:tcPr>
          <w:p w14:paraId="4EBCC33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8</w:t>
            </w:r>
          </w:p>
        </w:tc>
        <w:tc>
          <w:tcPr>
            <w:tcW w:w="1418" w:type="dxa"/>
            <w:noWrap/>
          </w:tcPr>
          <w:p w14:paraId="3A9AB17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15</w:t>
            </w:r>
          </w:p>
        </w:tc>
        <w:tc>
          <w:tcPr>
            <w:tcW w:w="1281" w:type="dxa"/>
            <w:noWrap/>
          </w:tcPr>
          <w:p w14:paraId="5B97AFF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53%</w:t>
            </w:r>
          </w:p>
        </w:tc>
        <w:tc>
          <w:tcPr>
            <w:tcW w:w="1417" w:type="dxa"/>
            <w:noWrap/>
          </w:tcPr>
          <w:p w14:paraId="6546B9B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w:t>
            </w:r>
          </w:p>
        </w:tc>
        <w:tc>
          <w:tcPr>
            <w:tcW w:w="1466" w:type="dxa"/>
            <w:noWrap/>
          </w:tcPr>
          <w:p w14:paraId="654EE47D"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w:t>
            </w:r>
          </w:p>
        </w:tc>
        <w:tc>
          <w:tcPr>
            <w:tcW w:w="1232" w:type="dxa"/>
            <w:noWrap/>
          </w:tcPr>
          <w:p w14:paraId="1EA06ECC"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60%</w:t>
            </w:r>
          </w:p>
        </w:tc>
      </w:tr>
      <w:tr w:rsidR="002D6E7B" w:rsidRPr="003C08B5" w14:paraId="0BA6314B" w14:textId="77777777" w:rsidTr="00B10C48">
        <w:trPr>
          <w:trHeight w:val="226"/>
        </w:trPr>
        <w:tc>
          <w:tcPr>
            <w:tcW w:w="2092" w:type="dxa"/>
            <w:noWrap/>
            <w:hideMark/>
          </w:tcPr>
          <w:p w14:paraId="76960C08"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rPr>
              <w:t>Oxford City Council</w:t>
            </w:r>
          </w:p>
        </w:tc>
        <w:tc>
          <w:tcPr>
            <w:tcW w:w="1416" w:type="dxa"/>
            <w:noWrap/>
          </w:tcPr>
          <w:p w14:paraId="755878D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8</w:t>
            </w:r>
          </w:p>
        </w:tc>
        <w:tc>
          <w:tcPr>
            <w:tcW w:w="1418" w:type="dxa"/>
            <w:noWrap/>
          </w:tcPr>
          <w:p w14:paraId="5E213D6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10 </w:t>
            </w:r>
          </w:p>
        </w:tc>
        <w:tc>
          <w:tcPr>
            <w:tcW w:w="1281" w:type="dxa"/>
            <w:noWrap/>
          </w:tcPr>
          <w:p w14:paraId="3C3D7C26"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80%</w:t>
            </w:r>
          </w:p>
        </w:tc>
        <w:tc>
          <w:tcPr>
            <w:tcW w:w="1417" w:type="dxa"/>
            <w:noWrap/>
          </w:tcPr>
          <w:p w14:paraId="1DD08E9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w:t>
            </w:r>
          </w:p>
        </w:tc>
        <w:tc>
          <w:tcPr>
            <w:tcW w:w="1466" w:type="dxa"/>
            <w:noWrap/>
          </w:tcPr>
          <w:p w14:paraId="64FA9642"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10 </w:t>
            </w:r>
          </w:p>
        </w:tc>
        <w:tc>
          <w:tcPr>
            <w:tcW w:w="1232" w:type="dxa"/>
            <w:noWrap/>
          </w:tcPr>
          <w:p w14:paraId="7C6361A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40%</w:t>
            </w:r>
          </w:p>
        </w:tc>
      </w:tr>
      <w:tr w:rsidR="002D6E7B" w:rsidRPr="003C08B5" w14:paraId="24E6C4CC" w14:textId="77777777" w:rsidTr="00B10C48">
        <w:trPr>
          <w:trHeight w:val="226"/>
        </w:trPr>
        <w:tc>
          <w:tcPr>
            <w:tcW w:w="2092" w:type="dxa"/>
            <w:noWrap/>
            <w:hideMark/>
          </w:tcPr>
          <w:p w14:paraId="01BDB3D6"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rPr>
              <w:t>South Oxfordshire District Council</w:t>
            </w:r>
          </w:p>
        </w:tc>
        <w:tc>
          <w:tcPr>
            <w:tcW w:w="1416" w:type="dxa"/>
            <w:noWrap/>
          </w:tcPr>
          <w:p w14:paraId="65A8C4F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10</w:t>
            </w:r>
          </w:p>
        </w:tc>
        <w:tc>
          <w:tcPr>
            <w:tcW w:w="1418" w:type="dxa"/>
            <w:noWrap/>
          </w:tcPr>
          <w:p w14:paraId="16987E9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14 </w:t>
            </w:r>
          </w:p>
        </w:tc>
        <w:tc>
          <w:tcPr>
            <w:tcW w:w="1281" w:type="dxa"/>
            <w:noWrap/>
          </w:tcPr>
          <w:p w14:paraId="733C3473"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71%</w:t>
            </w:r>
          </w:p>
        </w:tc>
        <w:tc>
          <w:tcPr>
            <w:tcW w:w="1417" w:type="dxa"/>
            <w:noWrap/>
          </w:tcPr>
          <w:p w14:paraId="67B50D52"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0</w:t>
            </w:r>
          </w:p>
        </w:tc>
        <w:tc>
          <w:tcPr>
            <w:tcW w:w="1466" w:type="dxa"/>
            <w:noWrap/>
          </w:tcPr>
          <w:p w14:paraId="27CCF236"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5 </w:t>
            </w:r>
          </w:p>
        </w:tc>
        <w:tc>
          <w:tcPr>
            <w:tcW w:w="1232" w:type="dxa"/>
            <w:noWrap/>
          </w:tcPr>
          <w:p w14:paraId="7C74B8E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0</w:t>
            </w:r>
          </w:p>
        </w:tc>
      </w:tr>
      <w:tr w:rsidR="002D6E7B" w:rsidRPr="003C08B5" w14:paraId="272341EF" w14:textId="77777777" w:rsidTr="00B10C48">
        <w:trPr>
          <w:trHeight w:val="226"/>
        </w:trPr>
        <w:tc>
          <w:tcPr>
            <w:tcW w:w="2092" w:type="dxa"/>
            <w:noWrap/>
            <w:hideMark/>
          </w:tcPr>
          <w:p w14:paraId="44188D37"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rPr>
              <w:t>Vale of White Horse District Council</w:t>
            </w:r>
          </w:p>
        </w:tc>
        <w:tc>
          <w:tcPr>
            <w:tcW w:w="1416" w:type="dxa"/>
            <w:noWrap/>
          </w:tcPr>
          <w:p w14:paraId="7CEE5F47"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w:t>
            </w:r>
          </w:p>
        </w:tc>
        <w:tc>
          <w:tcPr>
            <w:tcW w:w="1418" w:type="dxa"/>
            <w:noWrap/>
          </w:tcPr>
          <w:p w14:paraId="5FCA210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13 </w:t>
            </w:r>
          </w:p>
        </w:tc>
        <w:tc>
          <w:tcPr>
            <w:tcW w:w="1281" w:type="dxa"/>
            <w:noWrap/>
          </w:tcPr>
          <w:p w14:paraId="6860E0BA"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38%</w:t>
            </w:r>
          </w:p>
        </w:tc>
        <w:tc>
          <w:tcPr>
            <w:tcW w:w="1417" w:type="dxa"/>
            <w:noWrap/>
          </w:tcPr>
          <w:p w14:paraId="679A36B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w:t>
            </w:r>
          </w:p>
        </w:tc>
        <w:tc>
          <w:tcPr>
            <w:tcW w:w="1466" w:type="dxa"/>
            <w:noWrap/>
          </w:tcPr>
          <w:p w14:paraId="2231904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8 </w:t>
            </w:r>
          </w:p>
        </w:tc>
        <w:tc>
          <w:tcPr>
            <w:tcW w:w="1232" w:type="dxa"/>
            <w:noWrap/>
          </w:tcPr>
          <w:p w14:paraId="6277C090"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50%</w:t>
            </w:r>
          </w:p>
        </w:tc>
      </w:tr>
      <w:tr w:rsidR="002D6E7B" w:rsidRPr="003C08B5" w14:paraId="1E77AD95" w14:textId="77777777" w:rsidTr="00B10C48">
        <w:trPr>
          <w:trHeight w:val="226"/>
        </w:trPr>
        <w:tc>
          <w:tcPr>
            <w:tcW w:w="2092" w:type="dxa"/>
            <w:noWrap/>
            <w:hideMark/>
          </w:tcPr>
          <w:p w14:paraId="0EA53DB3" w14:textId="77777777" w:rsidR="002D6E7B" w:rsidRPr="003C08B5" w:rsidRDefault="002D6E7B" w:rsidP="00B10C48">
            <w:pPr>
              <w:rPr>
                <w:rFonts w:ascii="Arial" w:hAnsi="Arial" w:cs="Arial"/>
                <w:color w:val="auto"/>
                <w:sz w:val="20"/>
                <w:szCs w:val="20"/>
                <w:lang w:eastAsia="en-GB"/>
              </w:rPr>
            </w:pPr>
            <w:r w:rsidRPr="003C08B5">
              <w:rPr>
                <w:rFonts w:ascii="Arial" w:hAnsi="Arial" w:cs="Arial"/>
                <w:color w:val="auto"/>
                <w:sz w:val="20"/>
                <w:szCs w:val="20"/>
              </w:rPr>
              <w:t>West Oxfordshire District Council</w:t>
            </w:r>
          </w:p>
        </w:tc>
        <w:tc>
          <w:tcPr>
            <w:tcW w:w="1416" w:type="dxa"/>
            <w:noWrap/>
          </w:tcPr>
          <w:p w14:paraId="743CC7A1"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7</w:t>
            </w:r>
          </w:p>
        </w:tc>
        <w:tc>
          <w:tcPr>
            <w:tcW w:w="1418" w:type="dxa"/>
            <w:noWrap/>
          </w:tcPr>
          <w:p w14:paraId="5AC34FE4"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15 </w:t>
            </w:r>
          </w:p>
        </w:tc>
        <w:tc>
          <w:tcPr>
            <w:tcW w:w="1281" w:type="dxa"/>
            <w:noWrap/>
          </w:tcPr>
          <w:p w14:paraId="11DCC6F5"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47%</w:t>
            </w:r>
          </w:p>
        </w:tc>
        <w:tc>
          <w:tcPr>
            <w:tcW w:w="1417" w:type="dxa"/>
            <w:noWrap/>
          </w:tcPr>
          <w:p w14:paraId="5DC95269"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3</w:t>
            </w:r>
          </w:p>
        </w:tc>
        <w:tc>
          <w:tcPr>
            <w:tcW w:w="1466" w:type="dxa"/>
            <w:noWrap/>
          </w:tcPr>
          <w:p w14:paraId="0F6B62D6"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 xml:space="preserve"> 6 </w:t>
            </w:r>
          </w:p>
        </w:tc>
        <w:tc>
          <w:tcPr>
            <w:tcW w:w="1232" w:type="dxa"/>
            <w:noWrap/>
          </w:tcPr>
          <w:p w14:paraId="25BB534E" w14:textId="77777777" w:rsidR="002D6E7B" w:rsidRPr="003C08B5" w:rsidRDefault="002D6E7B" w:rsidP="00B10C48">
            <w:pPr>
              <w:jc w:val="center"/>
              <w:rPr>
                <w:rFonts w:ascii="Arial" w:hAnsi="Arial" w:cs="Arial"/>
                <w:color w:val="auto"/>
                <w:sz w:val="20"/>
                <w:szCs w:val="20"/>
                <w:lang w:eastAsia="en-GB"/>
              </w:rPr>
            </w:pPr>
            <w:r w:rsidRPr="003C08B5">
              <w:rPr>
                <w:rFonts w:ascii="Arial" w:hAnsi="Arial" w:cs="Arial"/>
                <w:color w:val="auto"/>
                <w:sz w:val="20"/>
                <w:szCs w:val="20"/>
              </w:rPr>
              <w:t>50%</w:t>
            </w:r>
          </w:p>
        </w:tc>
      </w:tr>
    </w:tbl>
    <w:p w14:paraId="20D634C8" w14:textId="77777777" w:rsidR="002D6E7B" w:rsidRPr="008534E0" w:rsidRDefault="002D6E7B" w:rsidP="0084182A">
      <w:pPr>
        <w:keepNext/>
        <w:suppressAutoHyphens/>
        <w:spacing w:after="0" w:line="260" w:lineRule="exact"/>
        <w:rPr>
          <w:rFonts w:ascii="Arial" w:eastAsia="Times New Roman" w:hAnsi="Arial" w:cs="Arial"/>
          <w:bCs/>
          <w:sz w:val="18"/>
          <w:szCs w:val="18"/>
          <w:lang w:eastAsia="en-GB"/>
        </w:rPr>
      </w:pPr>
    </w:p>
    <w:p w14:paraId="2F8F6295" w14:textId="55DE0125" w:rsidR="003C08B5" w:rsidRPr="00B75F2E" w:rsidRDefault="00AC4BB3" w:rsidP="003C08B5">
      <w:pPr>
        <w:spacing w:after="0" w:line="240" w:lineRule="auto"/>
        <w:jc w:val="both"/>
        <w:rPr>
          <w:rFonts w:ascii="Arial" w:hAnsi="Arial" w:cs="Arial"/>
          <w:color w:val="000000"/>
          <w:sz w:val="14"/>
          <w:szCs w:val="14"/>
        </w:rPr>
      </w:pPr>
      <w:r>
        <w:rPr>
          <w:rFonts w:ascii="Arial" w:hAnsi="Arial" w:cs="Arial"/>
          <w:color w:val="000000"/>
          <w:sz w:val="14"/>
          <w:szCs w:val="14"/>
          <w:vertAlign w:val="superscript"/>
        </w:rPr>
        <w:t xml:space="preserve">4 </w:t>
      </w:r>
      <w:r w:rsidR="003C08B5" w:rsidRPr="00B75F2E">
        <w:rPr>
          <w:rFonts w:ascii="Arial" w:hAnsi="Arial" w:cs="Arial"/>
          <w:color w:val="000000"/>
          <w:sz w:val="14"/>
          <w:szCs w:val="14"/>
        </w:rPr>
        <w:t>40  or more care homes for older people across the UK</w:t>
      </w:r>
    </w:p>
    <w:p w14:paraId="2AC5AC79" w14:textId="22F441A4" w:rsidR="003C08B5" w:rsidRPr="00B75F2E" w:rsidRDefault="00AC4BB3" w:rsidP="003C08B5">
      <w:pPr>
        <w:spacing w:after="0" w:line="240" w:lineRule="auto"/>
        <w:jc w:val="both"/>
        <w:rPr>
          <w:rFonts w:ascii="Arial" w:hAnsi="Arial" w:cs="Arial"/>
          <w:color w:val="000000"/>
          <w:sz w:val="14"/>
          <w:szCs w:val="14"/>
        </w:rPr>
      </w:pPr>
      <w:r>
        <w:rPr>
          <w:rFonts w:ascii="Arial" w:hAnsi="Arial" w:cs="Arial"/>
          <w:color w:val="000000"/>
          <w:sz w:val="14"/>
          <w:szCs w:val="14"/>
          <w:vertAlign w:val="superscript"/>
        </w:rPr>
        <w:t xml:space="preserve">5 </w:t>
      </w:r>
      <w:r w:rsidR="003C08B5" w:rsidRPr="00B75F2E">
        <w:rPr>
          <w:rFonts w:ascii="Arial" w:hAnsi="Arial" w:cs="Arial"/>
          <w:color w:val="000000"/>
          <w:sz w:val="14"/>
          <w:szCs w:val="14"/>
        </w:rPr>
        <w:t xml:space="preserve"> 3 - 39 care homes for older people across the UK</w:t>
      </w:r>
    </w:p>
    <w:p w14:paraId="7C76563A" w14:textId="0885417E" w:rsidR="003C08B5" w:rsidRDefault="00AC4BB3" w:rsidP="003C08B5">
      <w:pPr>
        <w:spacing w:after="0" w:line="240" w:lineRule="auto"/>
        <w:jc w:val="both"/>
        <w:rPr>
          <w:rFonts w:ascii="Arial" w:hAnsi="Arial" w:cs="Arial"/>
          <w:color w:val="000000"/>
          <w:sz w:val="14"/>
          <w:szCs w:val="14"/>
        </w:rPr>
      </w:pPr>
      <w:r>
        <w:rPr>
          <w:rFonts w:ascii="Arial" w:hAnsi="Arial" w:cs="Arial"/>
          <w:color w:val="000000"/>
          <w:sz w:val="14"/>
          <w:szCs w:val="14"/>
          <w:vertAlign w:val="superscript"/>
        </w:rPr>
        <w:t xml:space="preserve">6 </w:t>
      </w:r>
      <w:r w:rsidR="003C08B5" w:rsidRPr="00B75F2E">
        <w:rPr>
          <w:rFonts w:ascii="Arial" w:hAnsi="Arial" w:cs="Arial"/>
          <w:color w:val="000000"/>
          <w:sz w:val="14"/>
          <w:szCs w:val="14"/>
          <w:vertAlign w:val="superscript"/>
        </w:rPr>
        <w:t xml:space="preserve"> </w:t>
      </w:r>
      <w:r w:rsidR="003C08B5" w:rsidRPr="00B75F2E">
        <w:rPr>
          <w:rFonts w:ascii="Arial" w:hAnsi="Arial" w:cs="Arial"/>
          <w:color w:val="000000"/>
          <w:sz w:val="14"/>
          <w:szCs w:val="14"/>
        </w:rPr>
        <w:t>Fewer than 3 care homes for older people across the UK</w:t>
      </w:r>
    </w:p>
    <w:p w14:paraId="7B2E45BA" w14:textId="3935F14C" w:rsidR="000E13DE" w:rsidRDefault="000E13DE" w:rsidP="003C08B5">
      <w:pPr>
        <w:spacing w:after="0" w:line="240" w:lineRule="auto"/>
        <w:jc w:val="both"/>
        <w:rPr>
          <w:rFonts w:ascii="Arial" w:hAnsi="Arial" w:cs="Arial"/>
          <w:color w:val="000000"/>
          <w:sz w:val="14"/>
          <w:szCs w:val="14"/>
        </w:rPr>
      </w:pPr>
    </w:p>
    <w:p w14:paraId="6576CCD8" w14:textId="199D6B50" w:rsidR="000E13DE" w:rsidRDefault="000E13DE" w:rsidP="003C08B5">
      <w:pPr>
        <w:spacing w:after="0" w:line="240" w:lineRule="auto"/>
        <w:jc w:val="both"/>
        <w:rPr>
          <w:rFonts w:ascii="Arial" w:hAnsi="Arial" w:cs="Arial"/>
          <w:color w:val="000000"/>
          <w:sz w:val="14"/>
          <w:szCs w:val="14"/>
        </w:rPr>
      </w:pPr>
    </w:p>
    <w:p w14:paraId="472AA4AB" w14:textId="49FC0E56" w:rsidR="000E13DE" w:rsidRDefault="000E13DE" w:rsidP="003C08B5">
      <w:pPr>
        <w:spacing w:after="0" w:line="240" w:lineRule="auto"/>
        <w:jc w:val="both"/>
        <w:rPr>
          <w:rFonts w:ascii="Arial" w:hAnsi="Arial" w:cs="Arial"/>
          <w:color w:val="000000"/>
          <w:sz w:val="14"/>
          <w:szCs w:val="14"/>
        </w:rPr>
      </w:pPr>
    </w:p>
    <w:p w14:paraId="65BEC764" w14:textId="62F43279" w:rsidR="000E13DE" w:rsidRDefault="000E13DE" w:rsidP="003C08B5">
      <w:pPr>
        <w:spacing w:after="0" w:line="240" w:lineRule="auto"/>
        <w:jc w:val="both"/>
        <w:rPr>
          <w:rFonts w:ascii="Arial" w:hAnsi="Arial" w:cs="Arial"/>
          <w:color w:val="000000"/>
          <w:sz w:val="14"/>
          <w:szCs w:val="14"/>
        </w:rPr>
      </w:pPr>
    </w:p>
    <w:p w14:paraId="4D41426B" w14:textId="486C421B" w:rsidR="000E13DE" w:rsidRDefault="000E13DE" w:rsidP="003C08B5">
      <w:pPr>
        <w:spacing w:after="0" w:line="240" w:lineRule="auto"/>
        <w:jc w:val="both"/>
        <w:rPr>
          <w:rFonts w:ascii="Arial" w:hAnsi="Arial" w:cs="Arial"/>
          <w:color w:val="000000"/>
          <w:sz w:val="14"/>
          <w:szCs w:val="14"/>
        </w:rPr>
      </w:pPr>
    </w:p>
    <w:p w14:paraId="7C30D0BC" w14:textId="77C4AEB6" w:rsidR="002B4734" w:rsidRDefault="002B4734" w:rsidP="003C08B5">
      <w:pPr>
        <w:spacing w:after="0" w:line="240" w:lineRule="auto"/>
        <w:jc w:val="both"/>
        <w:rPr>
          <w:rFonts w:ascii="Arial" w:hAnsi="Arial" w:cs="Arial"/>
          <w:color w:val="000000"/>
          <w:sz w:val="14"/>
          <w:szCs w:val="14"/>
        </w:rPr>
      </w:pPr>
    </w:p>
    <w:p w14:paraId="4F6F640B" w14:textId="7F5DD16F" w:rsidR="002B4734" w:rsidRDefault="002B4734" w:rsidP="003C08B5">
      <w:pPr>
        <w:spacing w:after="0" w:line="240" w:lineRule="auto"/>
        <w:jc w:val="both"/>
        <w:rPr>
          <w:rFonts w:ascii="Arial" w:hAnsi="Arial" w:cs="Arial"/>
          <w:color w:val="000000"/>
          <w:sz w:val="14"/>
          <w:szCs w:val="14"/>
        </w:rPr>
      </w:pPr>
    </w:p>
    <w:p w14:paraId="20D88050" w14:textId="77777777" w:rsidR="002B4734" w:rsidRDefault="002B4734" w:rsidP="003C08B5">
      <w:pPr>
        <w:spacing w:after="0" w:line="240" w:lineRule="auto"/>
        <w:jc w:val="both"/>
        <w:rPr>
          <w:rFonts w:ascii="Arial" w:hAnsi="Arial" w:cs="Arial"/>
          <w:color w:val="000000"/>
          <w:sz w:val="14"/>
          <w:szCs w:val="14"/>
        </w:rPr>
      </w:pPr>
    </w:p>
    <w:p w14:paraId="5328D847" w14:textId="77777777" w:rsidR="000E13DE" w:rsidRPr="00B75F2E" w:rsidRDefault="000E13DE" w:rsidP="003C08B5">
      <w:pPr>
        <w:spacing w:after="0" w:line="240" w:lineRule="auto"/>
        <w:jc w:val="both"/>
        <w:rPr>
          <w:rFonts w:ascii="Arial" w:hAnsi="Arial" w:cs="Arial"/>
          <w:color w:val="000000"/>
          <w:sz w:val="14"/>
          <w:szCs w:val="14"/>
        </w:rPr>
      </w:pPr>
    </w:p>
    <w:p w14:paraId="4F0B2A71" w14:textId="77777777" w:rsidR="003C08B5" w:rsidRPr="003C08B5" w:rsidRDefault="003C08B5" w:rsidP="003C08B5">
      <w:pPr>
        <w:pStyle w:val="ListParagraph"/>
        <w:jc w:val="both"/>
        <w:rPr>
          <w:rFonts w:ascii="Arial" w:hAnsi="Arial" w:cs="Arial"/>
          <w:color w:val="auto"/>
          <w:sz w:val="16"/>
          <w:szCs w:val="16"/>
        </w:rPr>
      </w:pPr>
    </w:p>
    <w:p w14:paraId="64249FFB" w14:textId="2C186691" w:rsidR="00B75F2E" w:rsidRPr="000E13DE" w:rsidRDefault="00995855" w:rsidP="009B71B2">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17" w:name="_Toc114240157"/>
      <w:r w:rsidRPr="000E13DE">
        <w:rPr>
          <w:rFonts w:ascii="Arial" w:eastAsia="Times New Roman" w:hAnsi="Arial" w:cs="Arial"/>
          <w:color w:val="auto"/>
          <w:lang w:eastAsia="en-GB"/>
        </w:rPr>
        <w:t xml:space="preserve">2.7.1 </w:t>
      </w:r>
      <w:r w:rsidR="00AF7AF6" w:rsidRPr="000E13DE">
        <w:rPr>
          <w:rFonts w:ascii="Arial" w:eastAsia="Times New Roman" w:hAnsi="Arial" w:cs="Arial"/>
          <w:color w:val="auto"/>
          <w:lang w:eastAsia="en-GB"/>
        </w:rPr>
        <w:t>Figure 1 Map of care homes in Oxfordshire</w:t>
      </w:r>
    </w:p>
    <w:p w14:paraId="3F238DFC" w14:textId="77777777" w:rsidR="000B2B1F" w:rsidRDefault="000B2B1F" w:rsidP="009B71B2">
      <w:pPr>
        <w:tabs>
          <w:tab w:val="num" w:pos="0"/>
          <w:tab w:val="right" w:pos="9071"/>
        </w:tabs>
        <w:suppressAutoHyphens/>
        <w:spacing w:after="0" w:line="260" w:lineRule="exact"/>
        <w:ind w:right="-34"/>
        <w:jc w:val="both"/>
        <w:outlineLvl w:val="2"/>
        <w:rPr>
          <w:rFonts w:ascii="Arial" w:eastAsia="Times New Roman" w:hAnsi="Arial" w:cs="Arial"/>
          <w:color w:val="auto"/>
          <w:sz w:val="20"/>
          <w:szCs w:val="20"/>
          <w:lang w:eastAsia="en-GB"/>
        </w:rPr>
      </w:pPr>
    </w:p>
    <w:p w14:paraId="4D95597D" w14:textId="2D103505" w:rsidR="00402224" w:rsidRDefault="00995855" w:rsidP="009B71B2">
      <w:pPr>
        <w:tabs>
          <w:tab w:val="num" w:pos="0"/>
          <w:tab w:val="right" w:pos="9071"/>
        </w:tabs>
        <w:suppressAutoHyphens/>
        <w:spacing w:after="0" w:line="260" w:lineRule="exact"/>
        <w:ind w:right="-34"/>
        <w:jc w:val="both"/>
        <w:outlineLvl w:val="2"/>
        <w:rPr>
          <w:rFonts w:ascii="Arial" w:eastAsia="Times New Roman" w:hAnsi="Arial" w:cs="Arial"/>
          <w:color w:val="auto"/>
          <w:sz w:val="20"/>
          <w:szCs w:val="20"/>
          <w:lang w:eastAsia="en-GB"/>
        </w:rPr>
      </w:pPr>
      <w:r w:rsidRPr="0084182A">
        <w:rPr>
          <w:rFonts w:ascii="Arial" w:eastAsia="Times New Roman" w:hAnsi="Arial" w:cs="Arial"/>
          <w:color w:val="auto"/>
          <w:sz w:val="20"/>
          <w:szCs w:val="20"/>
          <w:lang w:eastAsia="en-GB"/>
        </w:rPr>
        <w:t>Geographical spread of care homes in Oxfordshire (respondents in comparison to non-respondents)</w:t>
      </w:r>
      <w:bookmarkEnd w:id="17"/>
      <w:r w:rsidR="00B75F2E">
        <w:rPr>
          <w:rFonts w:ascii="Arial" w:eastAsia="Times New Roman" w:hAnsi="Arial" w:cs="Arial"/>
          <w:color w:val="auto"/>
          <w:sz w:val="20"/>
          <w:szCs w:val="20"/>
          <w:lang w:eastAsia="en-GB"/>
        </w:rPr>
        <w:t xml:space="preserve">.                </w:t>
      </w:r>
      <w:r w:rsidR="00402224">
        <w:rPr>
          <w:rFonts w:ascii="Arial" w:eastAsia="Times New Roman" w:hAnsi="Arial" w:cs="Arial"/>
          <w:color w:val="auto"/>
          <w:sz w:val="20"/>
          <w:szCs w:val="20"/>
          <w:lang w:eastAsia="en-GB"/>
        </w:rPr>
        <w:t>In should be noted that t</w:t>
      </w:r>
      <w:r w:rsidR="00402224" w:rsidRPr="00402224">
        <w:rPr>
          <w:rFonts w:ascii="Arial" w:eastAsia="Times New Roman" w:hAnsi="Arial" w:cs="Arial"/>
          <w:color w:val="auto"/>
          <w:sz w:val="20"/>
          <w:szCs w:val="20"/>
          <w:lang w:eastAsia="en-GB"/>
        </w:rPr>
        <w:t xml:space="preserve">here </w:t>
      </w:r>
      <w:r w:rsidR="00FD6C66">
        <w:rPr>
          <w:rFonts w:ascii="Arial" w:eastAsia="Times New Roman" w:hAnsi="Arial" w:cs="Arial"/>
          <w:color w:val="auto"/>
          <w:sz w:val="20"/>
          <w:szCs w:val="20"/>
          <w:lang w:eastAsia="en-GB"/>
        </w:rPr>
        <w:t>were</w:t>
      </w:r>
      <w:r w:rsidR="00402224" w:rsidRPr="00402224">
        <w:rPr>
          <w:rFonts w:ascii="Arial" w:eastAsia="Times New Roman" w:hAnsi="Arial" w:cs="Arial"/>
          <w:color w:val="auto"/>
          <w:sz w:val="20"/>
          <w:szCs w:val="20"/>
          <w:lang w:eastAsia="en-GB"/>
        </w:rPr>
        <w:t xml:space="preserve"> </w:t>
      </w:r>
      <w:bookmarkStart w:id="18" w:name="_Hlk116396625"/>
      <w:r w:rsidR="00402224" w:rsidRPr="00402224">
        <w:rPr>
          <w:rFonts w:ascii="Arial" w:eastAsia="Times New Roman" w:hAnsi="Arial" w:cs="Arial"/>
          <w:color w:val="auto"/>
          <w:sz w:val="20"/>
          <w:szCs w:val="20"/>
          <w:lang w:eastAsia="en-GB"/>
        </w:rPr>
        <w:t>no</w:t>
      </w:r>
      <w:r w:rsidR="00402224">
        <w:rPr>
          <w:rFonts w:ascii="Arial" w:eastAsia="Times New Roman" w:hAnsi="Arial" w:cs="Arial"/>
          <w:color w:val="auto"/>
          <w:sz w:val="20"/>
          <w:szCs w:val="20"/>
          <w:lang w:eastAsia="en-GB"/>
        </w:rPr>
        <w:t xml:space="preserve"> </w:t>
      </w:r>
      <w:r w:rsidR="009B71B2">
        <w:rPr>
          <w:rFonts w:ascii="Arial" w:eastAsia="Times New Roman" w:hAnsi="Arial" w:cs="Arial"/>
          <w:color w:val="auto"/>
          <w:sz w:val="20"/>
          <w:szCs w:val="20"/>
          <w:lang w:eastAsia="en-GB"/>
        </w:rPr>
        <w:t xml:space="preserve">responses received from </w:t>
      </w:r>
      <w:r w:rsidR="00402224">
        <w:rPr>
          <w:rFonts w:ascii="Arial" w:eastAsia="Times New Roman" w:hAnsi="Arial" w:cs="Arial"/>
          <w:color w:val="auto"/>
          <w:sz w:val="20"/>
          <w:szCs w:val="20"/>
          <w:lang w:eastAsia="en-GB"/>
        </w:rPr>
        <w:t>care</w:t>
      </w:r>
      <w:r w:rsidR="00402224" w:rsidRPr="00402224">
        <w:rPr>
          <w:rFonts w:ascii="Arial" w:eastAsia="Times New Roman" w:hAnsi="Arial" w:cs="Arial"/>
          <w:color w:val="auto"/>
          <w:sz w:val="20"/>
          <w:szCs w:val="20"/>
          <w:lang w:eastAsia="en-GB"/>
        </w:rPr>
        <w:t xml:space="preserve"> homes located in South Oxfordshire</w:t>
      </w:r>
      <w:bookmarkEnd w:id="18"/>
      <w:r w:rsidR="00402224">
        <w:rPr>
          <w:rFonts w:ascii="Arial" w:eastAsia="Times New Roman" w:hAnsi="Arial" w:cs="Arial"/>
          <w:color w:val="auto"/>
          <w:sz w:val="20"/>
          <w:szCs w:val="20"/>
          <w:lang w:eastAsia="en-GB"/>
        </w:rPr>
        <w:t>.</w:t>
      </w:r>
    </w:p>
    <w:p w14:paraId="2BCFD134" w14:textId="61CEBC28" w:rsidR="00995855" w:rsidRPr="00402224" w:rsidRDefault="0013072B" w:rsidP="00402224">
      <w:pPr>
        <w:tabs>
          <w:tab w:val="num" w:pos="0"/>
          <w:tab w:val="right" w:pos="9071"/>
        </w:tabs>
        <w:suppressAutoHyphens/>
        <w:spacing w:after="0" w:line="260" w:lineRule="exact"/>
        <w:ind w:right="-34"/>
        <w:jc w:val="both"/>
        <w:outlineLvl w:val="2"/>
        <w:rPr>
          <w:rFonts w:ascii="Arial" w:eastAsia="Times New Roman" w:hAnsi="Arial" w:cs="Arial"/>
          <w:color w:val="auto"/>
          <w:sz w:val="20"/>
          <w:szCs w:val="20"/>
          <w:lang w:eastAsia="en-GB"/>
        </w:rPr>
      </w:pPr>
      <w:r w:rsidRPr="00995855">
        <w:rPr>
          <w:rFonts w:ascii="Arial" w:hAnsi="Arial" w:cs="Arial"/>
          <w:noProof/>
        </w:rPr>
        <w:drawing>
          <wp:anchor distT="0" distB="0" distL="114300" distR="114300" simplePos="0" relativeHeight="251656704" behindDoc="0" locked="0" layoutInCell="1" allowOverlap="1" wp14:anchorId="2A7FA0E7" wp14:editId="3C1D41F1">
            <wp:simplePos x="0" y="0"/>
            <wp:positionH relativeFrom="margin">
              <wp:posOffset>457200</wp:posOffset>
            </wp:positionH>
            <wp:positionV relativeFrom="paragraph">
              <wp:posOffset>69850</wp:posOffset>
            </wp:positionV>
            <wp:extent cx="5197475" cy="2580005"/>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7475" cy="2580005"/>
                    </a:xfrm>
                    <a:prstGeom prst="rect">
                      <a:avLst/>
                    </a:prstGeom>
                    <a:noFill/>
                  </pic:spPr>
                </pic:pic>
              </a:graphicData>
            </a:graphic>
            <wp14:sizeRelH relativeFrom="margin">
              <wp14:pctWidth>0</wp14:pctWidth>
            </wp14:sizeRelH>
            <wp14:sizeRelV relativeFrom="margin">
              <wp14:pctHeight>0</wp14:pctHeight>
            </wp14:sizeRelV>
          </wp:anchor>
        </w:drawing>
      </w:r>
    </w:p>
    <w:p w14:paraId="5E99951A" w14:textId="77777777" w:rsidR="00995855" w:rsidRPr="00020C5C" w:rsidRDefault="00995855" w:rsidP="00EC7E75">
      <w:pPr>
        <w:numPr>
          <w:ilvl w:val="0"/>
          <w:numId w:val="8"/>
        </w:numPr>
        <w:suppressAutoHyphens/>
        <w:spacing w:after="0" w:line="240" w:lineRule="auto"/>
        <w:ind w:left="2520"/>
        <w:rPr>
          <w:rFonts w:ascii="Arial" w:eastAsia="Times New Roman" w:hAnsi="Arial" w:cs="Arial"/>
          <w:sz w:val="20"/>
          <w:szCs w:val="20"/>
          <w:lang w:eastAsia="en-GB"/>
        </w:rPr>
      </w:pPr>
      <w:r w:rsidRPr="00020C5C">
        <w:rPr>
          <w:rFonts w:ascii="Arial" w:eastAsia="Times New Roman" w:hAnsi="Arial" w:cs="Arial"/>
          <w:sz w:val="20"/>
          <w:szCs w:val="20"/>
          <w:lang w:eastAsia="en-GB"/>
        </w:rPr>
        <w:t>Respondents</w:t>
      </w:r>
    </w:p>
    <w:p w14:paraId="44F9DEC9" w14:textId="77777777" w:rsidR="00995855" w:rsidRPr="00020C5C" w:rsidRDefault="00995855" w:rsidP="00EC7E75">
      <w:pPr>
        <w:numPr>
          <w:ilvl w:val="0"/>
          <w:numId w:val="9"/>
        </w:numPr>
        <w:suppressAutoHyphens/>
        <w:spacing w:after="0" w:line="240" w:lineRule="auto"/>
        <w:ind w:left="2520"/>
        <w:rPr>
          <w:rFonts w:ascii="Arial" w:eastAsia="Times New Roman" w:hAnsi="Arial" w:cs="Arial"/>
          <w:sz w:val="20"/>
          <w:szCs w:val="20"/>
          <w:lang w:eastAsia="en-GB"/>
        </w:rPr>
      </w:pPr>
      <w:r w:rsidRPr="00020C5C">
        <w:rPr>
          <w:rFonts w:ascii="Arial" w:eastAsia="Times New Roman" w:hAnsi="Arial" w:cs="Arial"/>
          <w:sz w:val="20"/>
          <w:szCs w:val="20"/>
          <w:lang w:eastAsia="en-GB"/>
        </w:rPr>
        <w:t>Non-respondents</w:t>
      </w:r>
    </w:p>
    <w:p w14:paraId="0699458D" w14:textId="7C89CFCC" w:rsidR="005C1D9F" w:rsidRDefault="005C1D9F" w:rsidP="00995855">
      <w:pPr>
        <w:tabs>
          <w:tab w:val="num" w:pos="0"/>
          <w:tab w:val="right" w:pos="9071"/>
        </w:tabs>
        <w:suppressAutoHyphens/>
        <w:spacing w:after="0" w:line="260" w:lineRule="exact"/>
        <w:ind w:right="-34"/>
        <w:jc w:val="both"/>
        <w:outlineLvl w:val="1"/>
        <w:rPr>
          <w:rFonts w:ascii="Arial" w:eastAsia="Times New Roman" w:hAnsi="Arial" w:cs="Arial"/>
          <w:color w:val="941F64"/>
          <w:lang w:eastAsia="en-GB"/>
        </w:rPr>
      </w:pPr>
    </w:p>
    <w:p w14:paraId="4DF5B2E1" w14:textId="77777777" w:rsidR="005C1D9F" w:rsidRPr="00995855" w:rsidRDefault="005C1D9F" w:rsidP="00995855">
      <w:pPr>
        <w:tabs>
          <w:tab w:val="num" w:pos="0"/>
          <w:tab w:val="right" w:pos="9071"/>
        </w:tabs>
        <w:suppressAutoHyphens/>
        <w:spacing w:after="0" w:line="260" w:lineRule="exact"/>
        <w:ind w:right="-34"/>
        <w:jc w:val="both"/>
        <w:outlineLvl w:val="1"/>
        <w:rPr>
          <w:rFonts w:ascii="Arial" w:eastAsia="Times New Roman" w:hAnsi="Arial" w:cs="Arial"/>
          <w:color w:val="941F64"/>
          <w:lang w:eastAsia="en-GB"/>
        </w:rPr>
      </w:pPr>
    </w:p>
    <w:p w14:paraId="0C06FA89"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19" w:name="_Toc114240158"/>
      <w:r w:rsidRPr="0084182A">
        <w:rPr>
          <w:rFonts w:ascii="Arial" w:eastAsia="Times New Roman" w:hAnsi="Arial" w:cs="Arial"/>
          <w:color w:val="auto"/>
          <w:lang w:eastAsia="en-GB"/>
        </w:rPr>
        <w:t>2.8 Base price year and uplifts</w:t>
      </w:r>
      <w:bookmarkEnd w:id="19"/>
    </w:p>
    <w:p w14:paraId="02C61C3C" w14:textId="77777777" w:rsidR="00995855" w:rsidRPr="00995855" w:rsidRDefault="00995855" w:rsidP="00995855">
      <w:pPr>
        <w:spacing w:after="0" w:line="280" w:lineRule="exact"/>
        <w:jc w:val="both"/>
        <w:rPr>
          <w:rFonts w:ascii="Arial" w:hAnsi="Arial" w:cs="Arial"/>
          <w:color w:val="auto"/>
          <w:lang w:eastAsia="en-GB"/>
        </w:rPr>
      </w:pPr>
    </w:p>
    <w:p w14:paraId="0535E1B3" w14:textId="17938955"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All of the</w:t>
      </w:r>
      <w:r w:rsidR="00D17D29">
        <w:rPr>
          <w:rFonts w:ascii="Arial" w:hAnsi="Arial" w:cs="Arial"/>
          <w:color w:val="auto"/>
          <w:lang w:eastAsia="en-GB"/>
        </w:rPr>
        <w:t xml:space="preserve"> </w:t>
      </w:r>
      <w:r w:rsidR="0029380F">
        <w:rPr>
          <w:rFonts w:ascii="Arial" w:hAnsi="Arial" w:cs="Arial"/>
          <w:color w:val="auto"/>
          <w:lang w:eastAsia="en-GB"/>
        </w:rPr>
        <w:t>CoC</w:t>
      </w:r>
      <w:r w:rsidRPr="00995855">
        <w:rPr>
          <w:rFonts w:ascii="Arial" w:hAnsi="Arial" w:cs="Arial"/>
          <w:color w:val="auto"/>
          <w:lang w:eastAsia="en-GB"/>
        </w:rPr>
        <w:t xml:space="preserve"> results cited in this report are expressed at April 2022 prices. They have been calculated by multiplying the ‘uplift’ factors entered in the toolkit submissions by the 2021/22 (base year) toolkit costs per resident, for each cost line, to arrive at costs per resident at April 2022 prices. In any normal year, costs at April (the beginning of the financial year) would be expected to prevail over the full financial year (April 2022 to March 2023) because staffing is the main driver of cost and pay rates are usually set at the beginning of the financial year for the whole year in the light of the National Living Wage settlement which is implemented in April. The surge of inflation in 2022/23, means that care home costs per resident may well change significantly over the course of the new financial year, over and above this report’s results in April 2022. </w:t>
      </w:r>
    </w:p>
    <w:p w14:paraId="0E867555" w14:textId="77777777" w:rsidR="0084182A" w:rsidRDefault="0084182A" w:rsidP="0084182A">
      <w:pPr>
        <w:spacing w:after="0"/>
        <w:rPr>
          <w:rFonts w:ascii="Arial" w:hAnsi="Arial" w:cs="Arial"/>
          <w:color w:val="auto"/>
          <w:lang w:eastAsia="en-GB"/>
        </w:rPr>
      </w:pPr>
    </w:p>
    <w:p w14:paraId="0A5BE9B4" w14:textId="3FAD9920" w:rsidR="00610FD0" w:rsidRPr="00995855" w:rsidRDefault="00995855" w:rsidP="002B4734">
      <w:pPr>
        <w:jc w:val="both"/>
        <w:rPr>
          <w:rFonts w:ascii="Arial" w:hAnsi="Arial" w:cs="Arial"/>
          <w:color w:val="auto"/>
          <w:lang w:eastAsia="en-GB"/>
        </w:rPr>
      </w:pPr>
      <w:r w:rsidRPr="00995855">
        <w:rPr>
          <w:rFonts w:ascii="Arial" w:hAnsi="Arial" w:cs="Arial"/>
          <w:color w:val="auto"/>
          <w:lang w:eastAsia="en-GB"/>
        </w:rPr>
        <w:t>For submissions with a 2021/22 base price year and no uplifts entered in the toolkit submission, uplifts have been interpolated based on the National Living Wage for low-paid staff (care and domestic), the monthly earnings index for other staff, and CPI (Consumer Price Index) and CPIH (Consumer Price Index with Housing) percentage change figures for non-staffing costs for the 12 months up to April 2022</w:t>
      </w:r>
      <w:r w:rsidRPr="00995855">
        <w:rPr>
          <w:rFonts w:ascii="Arial" w:hAnsi="Arial" w:cs="Arial"/>
          <w:color w:val="auto"/>
          <w:vertAlign w:val="superscript"/>
        </w:rPr>
        <w:footnoteReference w:id="4"/>
      </w:r>
      <w:r w:rsidRPr="00995855">
        <w:rPr>
          <w:rFonts w:ascii="Arial" w:hAnsi="Arial" w:cs="Arial"/>
          <w:color w:val="auto"/>
          <w:lang w:eastAsia="en-GB"/>
        </w:rPr>
        <w:t>. These figures have been chosen on a point-by-point basis, where appropriate figures have been identified to account for relative price effects</w:t>
      </w:r>
      <w:r w:rsidRPr="00995855">
        <w:rPr>
          <w:rFonts w:ascii="Arial" w:hAnsi="Arial" w:cs="Arial"/>
          <w:color w:val="auto"/>
          <w:vertAlign w:val="superscript"/>
        </w:rPr>
        <w:footnoteReference w:id="5"/>
      </w:r>
      <w:r w:rsidRPr="00995855">
        <w:rPr>
          <w:rFonts w:ascii="Arial" w:hAnsi="Arial" w:cs="Arial"/>
          <w:color w:val="auto"/>
          <w:lang w:eastAsia="en-GB"/>
        </w:rPr>
        <w:t>, with overall CPI inflation figures used where no appropriate, goods/services-specific CPI figure has been identified. Uplift figures with CPI codes for each cost heading can be found in Table 3.</w:t>
      </w:r>
    </w:p>
    <w:p w14:paraId="73D3D64A" w14:textId="031CE5A5" w:rsidR="00995855" w:rsidRPr="0013072B" w:rsidRDefault="00995855" w:rsidP="00995855">
      <w:pPr>
        <w:keepNext/>
        <w:suppressAutoHyphens/>
        <w:spacing w:after="0" w:line="260" w:lineRule="exact"/>
        <w:jc w:val="both"/>
        <w:rPr>
          <w:rFonts w:ascii="Arial" w:eastAsia="Times New Roman" w:hAnsi="Arial" w:cs="Arial"/>
          <w:bCs/>
          <w:sz w:val="20"/>
          <w:szCs w:val="20"/>
          <w:lang w:eastAsia="en-GB"/>
        </w:rPr>
      </w:pPr>
      <w:r w:rsidRPr="0013072B">
        <w:rPr>
          <w:rFonts w:ascii="Arial" w:eastAsia="Times New Roman" w:hAnsi="Arial" w:cs="Arial"/>
          <w:bCs/>
          <w:sz w:val="20"/>
          <w:szCs w:val="20"/>
          <w:lang w:eastAsia="en-GB"/>
        </w:rPr>
        <w:lastRenderedPageBreak/>
        <w:t xml:space="preserve">Table 3 </w:t>
      </w:r>
      <w:r w:rsidR="008534E0" w:rsidRPr="0013072B">
        <w:rPr>
          <w:rFonts w:ascii="Arial" w:eastAsia="Times New Roman" w:hAnsi="Arial" w:cs="Arial"/>
          <w:bCs/>
          <w:sz w:val="20"/>
          <w:szCs w:val="20"/>
          <w:lang w:eastAsia="en-GB"/>
        </w:rPr>
        <w:t>-</w:t>
      </w:r>
      <w:r w:rsidRPr="0013072B">
        <w:rPr>
          <w:rFonts w:ascii="Arial" w:eastAsia="Times New Roman" w:hAnsi="Arial" w:cs="Arial"/>
          <w:bCs/>
          <w:sz w:val="20"/>
          <w:szCs w:val="20"/>
          <w:lang w:eastAsia="en-GB"/>
        </w:rPr>
        <w:t xml:space="preserve"> Uplifts from 2021/22 to 2022/23</w:t>
      </w:r>
    </w:p>
    <w:p w14:paraId="222C9941" w14:textId="77777777" w:rsidR="003C08B5" w:rsidRPr="003C08B5" w:rsidRDefault="003C08B5" w:rsidP="003C08B5">
      <w:pPr>
        <w:keepNext/>
        <w:suppressAutoHyphens/>
        <w:spacing w:after="0" w:line="260" w:lineRule="exact"/>
        <w:rPr>
          <w:rFonts w:eastAsia="Times New Roman" w:cs="Arial"/>
          <w:b/>
          <w:color w:val="auto"/>
          <w:szCs w:val="20"/>
          <w:lang w:eastAsia="en-GB"/>
        </w:rPr>
      </w:pPr>
    </w:p>
    <w:tbl>
      <w:tblPr>
        <w:tblStyle w:val="TableGrid1"/>
        <w:tblW w:w="9634" w:type="dxa"/>
        <w:tblLook w:val="04A0" w:firstRow="1" w:lastRow="0" w:firstColumn="1" w:lastColumn="0" w:noHBand="0" w:noVBand="1"/>
      </w:tblPr>
      <w:tblGrid>
        <w:gridCol w:w="4531"/>
        <w:gridCol w:w="1134"/>
        <w:gridCol w:w="2835"/>
        <w:gridCol w:w="1134"/>
      </w:tblGrid>
      <w:tr w:rsidR="003C08B5" w:rsidRPr="003C08B5" w14:paraId="3E4684FB" w14:textId="77777777" w:rsidTr="00A70EBC">
        <w:tc>
          <w:tcPr>
            <w:tcW w:w="4531" w:type="dxa"/>
          </w:tcPr>
          <w:p w14:paraId="240010F5" w14:textId="77777777" w:rsidR="003C08B5" w:rsidRPr="003C08B5" w:rsidRDefault="003C08B5" w:rsidP="003C08B5">
            <w:pPr>
              <w:spacing w:after="0" w:line="240" w:lineRule="auto"/>
              <w:rPr>
                <w:rFonts w:ascii="Arial" w:hAnsi="Arial" w:cs="Arial"/>
                <w:color w:val="auto"/>
                <w:sz w:val="20"/>
                <w:szCs w:val="20"/>
              </w:rPr>
            </w:pPr>
          </w:p>
        </w:tc>
        <w:tc>
          <w:tcPr>
            <w:tcW w:w="1134" w:type="dxa"/>
          </w:tcPr>
          <w:p w14:paraId="31973F47" w14:textId="77777777" w:rsidR="003C08B5" w:rsidRPr="003C08B5" w:rsidRDefault="003C08B5" w:rsidP="003C08B5">
            <w:pPr>
              <w:spacing w:after="0" w:line="240" w:lineRule="auto"/>
              <w:rPr>
                <w:rFonts w:ascii="Arial" w:hAnsi="Arial" w:cs="Arial"/>
                <w:b/>
                <w:bCs/>
                <w:color w:val="auto"/>
                <w:sz w:val="20"/>
                <w:szCs w:val="20"/>
              </w:rPr>
            </w:pPr>
            <w:r w:rsidRPr="003C08B5">
              <w:rPr>
                <w:rFonts w:ascii="Arial" w:hAnsi="Arial" w:cs="Arial"/>
                <w:b/>
                <w:bCs/>
                <w:color w:val="auto"/>
                <w:sz w:val="20"/>
                <w:szCs w:val="20"/>
              </w:rPr>
              <w:t>CPI Code</w:t>
            </w:r>
          </w:p>
        </w:tc>
        <w:tc>
          <w:tcPr>
            <w:tcW w:w="2835" w:type="dxa"/>
          </w:tcPr>
          <w:p w14:paraId="12634A15" w14:textId="77777777" w:rsidR="003C08B5" w:rsidRPr="003C08B5" w:rsidRDefault="003C08B5" w:rsidP="003C08B5">
            <w:pPr>
              <w:spacing w:after="0" w:line="240" w:lineRule="auto"/>
              <w:rPr>
                <w:rFonts w:ascii="Arial" w:hAnsi="Arial" w:cs="Arial"/>
                <w:b/>
                <w:bCs/>
                <w:color w:val="auto"/>
                <w:sz w:val="20"/>
                <w:szCs w:val="20"/>
              </w:rPr>
            </w:pPr>
            <w:r w:rsidRPr="003C08B5">
              <w:rPr>
                <w:rFonts w:ascii="Arial" w:hAnsi="Arial" w:cs="Arial"/>
                <w:b/>
                <w:bCs/>
                <w:color w:val="auto"/>
                <w:sz w:val="20"/>
                <w:szCs w:val="20"/>
              </w:rPr>
              <w:t>CPI Item</w:t>
            </w:r>
          </w:p>
        </w:tc>
        <w:tc>
          <w:tcPr>
            <w:tcW w:w="1134" w:type="dxa"/>
          </w:tcPr>
          <w:p w14:paraId="061DBF74" w14:textId="77777777" w:rsidR="003C08B5" w:rsidRPr="003C08B5" w:rsidRDefault="003C08B5" w:rsidP="003C08B5">
            <w:pPr>
              <w:spacing w:after="0" w:line="240" w:lineRule="auto"/>
              <w:rPr>
                <w:rFonts w:ascii="Arial" w:hAnsi="Arial" w:cs="Arial"/>
                <w:b/>
                <w:bCs/>
                <w:color w:val="auto"/>
                <w:sz w:val="20"/>
                <w:szCs w:val="20"/>
              </w:rPr>
            </w:pPr>
            <w:r w:rsidRPr="003C08B5">
              <w:rPr>
                <w:rFonts w:ascii="Arial" w:hAnsi="Arial" w:cs="Arial"/>
                <w:b/>
                <w:bCs/>
                <w:color w:val="auto"/>
                <w:sz w:val="20"/>
                <w:szCs w:val="20"/>
              </w:rPr>
              <w:t>12 Month % change to April 2022</w:t>
            </w:r>
          </w:p>
        </w:tc>
      </w:tr>
      <w:tr w:rsidR="003C08B5" w:rsidRPr="003C08B5" w14:paraId="087AC6D8" w14:textId="77777777" w:rsidTr="00A70EBC">
        <w:tc>
          <w:tcPr>
            <w:tcW w:w="4531" w:type="dxa"/>
          </w:tcPr>
          <w:p w14:paraId="326861BC"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Low paid staff (carers and domestic staff)</w:t>
            </w:r>
          </w:p>
        </w:tc>
        <w:tc>
          <w:tcPr>
            <w:tcW w:w="1134" w:type="dxa"/>
          </w:tcPr>
          <w:p w14:paraId="697A26E3"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w:t>
            </w:r>
          </w:p>
        </w:tc>
        <w:tc>
          <w:tcPr>
            <w:tcW w:w="2835" w:type="dxa"/>
          </w:tcPr>
          <w:p w14:paraId="0E32B825"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National Living Wage % increase, April - April</w:t>
            </w:r>
            <w:r w:rsidRPr="003C08B5">
              <w:rPr>
                <w:rFonts w:ascii="Arial" w:hAnsi="Arial" w:cs="Arial"/>
                <w:color w:val="auto"/>
                <w:sz w:val="20"/>
                <w:szCs w:val="20"/>
                <w:vertAlign w:val="superscript"/>
              </w:rPr>
              <w:footnoteReference w:id="6"/>
            </w:r>
          </w:p>
        </w:tc>
        <w:tc>
          <w:tcPr>
            <w:tcW w:w="1134" w:type="dxa"/>
          </w:tcPr>
          <w:p w14:paraId="4ACF2993"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6.6</w:t>
            </w:r>
          </w:p>
        </w:tc>
      </w:tr>
      <w:tr w:rsidR="003C08B5" w:rsidRPr="003C08B5" w14:paraId="1FF11BA8" w14:textId="77777777" w:rsidTr="00A70EBC">
        <w:trPr>
          <w:trHeight w:val="315"/>
        </w:trPr>
        <w:tc>
          <w:tcPr>
            <w:tcW w:w="4531" w:type="dxa"/>
            <w:noWrap/>
          </w:tcPr>
          <w:p w14:paraId="692B0929"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Other staff (nurses and back office)</w:t>
            </w:r>
          </w:p>
        </w:tc>
        <w:tc>
          <w:tcPr>
            <w:tcW w:w="1134" w:type="dxa"/>
          </w:tcPr>
          <w:p w14:paraId="330B48AE"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w:t>
            </w:r>
          </w:p>
        </w:tc>
        <w:tc>
          <w:tcPr>
            <w:tcW w:w="2835" w:type="dxa"/>
          </w:tcPr>
          <w:p w14:paraId="52F00C6F"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Average earnings index, April – April</w:t>
            </w:r>
          </w:p>
        </w:tc>
        <w:tc>
          <w:tcPr>
            <w:tcW w:w="1134" w:type="dxa"/>
          </w:tcPr>
          <w:p w14:paraId="5E19D444"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4.1</w:t>
            </w:r>
          </w:p>
        </w:tc>
      </w:tr>
      <w:tr w:rsidR="003C08B5" w:rsidRPr="003C08B5" w14:paraId="21963C51" w14:textId="77777777" w:rsidTr="00A70EBC">
        <w:trPr>
          <w:trHeight w:val="315"/>
        </w:trPr>
        <w:tc>
          <w:tcPr>
            <w:tcW w:w="4531" w:type="dxa"/>
            <w:noWrap/>
            <w:hideMark/>
          </w:tcPr>
          <w:p w14:paraId="7FBEC588"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Fixtures &amp; fittings</w:t>
            </w:r>
          </w:p>
        </w:tc>
        <w:tc>
          <w:tcPr>
            <w:tcW w:w="1134" w:type="dxa"/>
          </w:tcPr>
          <w:p w14:paraId="54ACF9E0"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D7GW</w:t>
            </w:r>
          </w:p>
        </w:tc>
        <w:tc>
          <w:tcPr>
            <w:tcW w:w="2835" w:type="dxa"/>
          </w:tcPr>
          <w:p w14:paraId="0AFAEFCD"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05.3 Household appliances, fitting, and repairs</w:t>
            </w:r>
          </w:p>
        </w:tc>
        <w:tc>
          <w:tcPr>
            <w:tcW w:w="1134" w:type="dxa"/>
          </w:tcPr>
          <w:p w14:paraId="57CE54C0" w14:textId="77777777" w:rsidR="003C08B5" w:rsidRPr="003C08B5" w:rsidRDefault="003C08B5" w:rsidP="003C08B5">
            <w:pPr>
              <w:spacing w:after="0" w:line="240" w:lineRule="auto"/>
              <w:rPr>
                <w:rFonts w:ascii="Arial" w:hAnsi="Arial" w:cs="Arial"/>
                <w:color w:val="auto"/>
                <w:sz w:val="20"/>
                <w:szCs w:val="20"/>
              </w:rPr>
            </w:pPr>
            <w:r w:rsidRPr="003C08B5">
              <w:rPr>
                <w:rFonts w:ascii="Arial" w:hAnsi="Arial" w:cs="Arial"/>
                <w:color w:val="auto"/>
                <w:sz w:val="20"/>
                <w:szCs w:val="20"/>
              </w:rPr>
              <w:t>9.9</w:t>
            </w:r>
          </w:p>
        </w:tc>
      </w:tr>
    </w:tbl>
    <w:p w14:paraId="17590F68" w14:textId="4EB0D67B" w:rsidR="003C08B5" w:rsidRDefault="003C08B5" w:rsidP="00995855">
      <w:pPr>
        <w:keepNext/>
        <w:suppressAutoHyphens/>
        <w:spacing w:after="0" w:line="260" w:lineRule="exact"/>
        <w:jc w:val="both"/>
        <w:rPr>
          <w:rFonts w:ascii="Arial" w:eastAsia="Times New Roman" w:hAnsi="Arial" w:cs="Arial"/>
          <w:bCs/>
          <w:sz w:val="18"/>
          <w:szCs w:val="18"/>
          <w:lang w:eastAsia="en-GB"/>
        </w:rPr>
      </w:pPr>
    </w:p>
    <w:tbl>
      <w:tblPr>
        <w:tblStyle w:val="TableGrid2"/>
        <w:tblW w:w="9634" w:type="dxa"/>
        <w:tblLook w:val="04A0" w:firstRow="1" w:lastRow="0" w:firstColumn="1" w:lastColumn="0" w:noHBand="0" w:noVBand="1"/>
      </w:tblPr>
      <w:tblGrid>
        <w:gridCol w:w="4531"/>
        <w:gridCol w:w="1134"/>
        <w:gridCol w:w="2835"/>
        <w:gridCol w:w="1134"/>
      </w:tblGrid>
      <w:tr w:rsidR="00A70EBC" w:rsidRPr="00384202" w14:paraId="29FFE669" w14:textId="77777777" w:rsidTr="00A70EBC">
        <w:trPr>
          <w:trHeight w:val="315"/>
        </w:trPr>
        <w:tc>
          <w:tcPr>
            <w:tcW w:w="4531" w:type="dxa"/>
            <w:noWrap/>
            <w:hideMark/>
          </w:tcPr>
          <w:p w14:paraId="7E111732"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Repairs and maintenance</w:t>
            </w:r>
          </w:p>
        </w:tc>
        <w:tc>
          <w:tcPr>
            <w:tcW w:w="1134" w:type="dxa"/>
          </w:tcPr>
          <w:p w14:paraId="70B3D44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D7GR</w:t>
            </w:r>
          </w:p>
        </w:tc>
        <w:tc>
          <w:tcPr>
            <w:tcW w:w="2835" w:type="dxa"/>
          </w:tcPr>
          <w:p w14:paraId="3DE345B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04.3 Regular maintenance and repair of the dwelling</w:t>
            </w:r>
          </w:p>
        </w:tc>
        <w:tc>
          <w:tcPr>
            <w:tcW w:w="1134" w:type="dxa"/>
          </w:tcPr>
          <w:p w14:paraId="52F55D0F"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7.6</w:t>
            </w:r>
          </w:p>
        </w:tc>
      </w:tr>
      <w:tr w:rsidR="00A70EBC" w:rsidRPr="00384202" w14:paraId="4FB32B5E" w14:textId="77777777" w:rsidTr="00A70EBC">
        <w:trPr>
          <w:trHeight w:val="315"/>
        </w:trPr>
        <w:tc>
          <w:tcPr>
            <w:tcW w:w="4531" w:type="dxa"/>
            <w:noWrap/>
            <w:hideMark/>
          </w:tcPr>
          <w:p w14:paraId="59371B7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Furniture, furnishings, and equipment</w:t>
            </w:r>
          </w:p>
        </w:tc>
        <w:tc>
          <w:tcPr>
            <w:tcW w:w="1134" w:type="dxa"/>
          </w:tcPr>
          <w:p w14:paraId="32249AF7"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D7GU</w:t>
            </w:r>
          </w:p>
        </w:tc>
        <w:tc>
          <w:tcPr>
            <w:tcW w:w="2835" w:type="dxa"/>
          </w:tcPr>
          <w:p w14:paraId="4159B233"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05.1 Furniture, furnishings, and carpets</w:t>
            </w:r>
          </w:p>
        </w:tc>
        <w:tc>
          <w:tcPr>
            <w:tcW w:w="1134" w:type="dxa"/>
          </w:tcPr>
          <w:p w14:paraId="29161869"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15.0</w:t>
            </w:r>
          </w:p>
        </w:tc>
      </w:tr>
      <w:tr w:rsidR="00A70EBC" w:rsidRPr="00384202" w14:paraId="285B7887" w14:textId="77777777" w:rsidTr="00A70EBC">
        <w:trPr>
          <w:trHeight w:val="315"/>
        </w:trPr>
        <w:tc>
          <w:tcPr>
            <w:tcW w:w="4531" w:type="dxa"/>
            <w:noWrap/>
            <w:hideMark/>
          </w:tcPr>
          <w:p w14:paraId="279389F8"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i/>
                <w:iCs/>
                <w:color w:val="auto"/>
                <w:sz w:val="20"/>
                <w:szCs w:val="20"/>
              </w:rPr>
              <w:t>Other care home premises costs</w:t>
            </w:r>
          </w:p>
        </w:tc>
        <w:tc>
          <w:tcPr>
            <w:tcW w:w="1134" w:type="dxa"/>
          </w:tcPr>
          <w:p w14:paraId="6220BA3F"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color w:val="auto"/>
                <w:sz w:val="20"/>
                <w:szCs w:val="20"/>
              </w:rPr>
              <w:t>D7G7</w:t>
            </w:r>
          </w:p>
        </w:tc>
        <w:tc>
          <w:tcPr>
            <w:tcW w:w="2835" w:type="dxa"/>
          </w:tcPr>
          <w:p w14:paraId="1C95E3D9"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color w:val="auto"/>
                <w:sz w:val="20"/>
                <w:szCs w:val="20"/>
              </w:rPr>
              <w:t>CPI (overall index)</w:t>
            </w:r>
          </w:p>
        </w:tc>
        <w:tc>
          <w:tcPr>
            <w:tcW w:w="1134" w:type="dxa"/>
          </w:tcPr>
          <w:p w14:paraId="3D52B0F5" w14:textId="77777777" w:rsidR="00384202" w:rsidRPr="00B75F2E" w:rsidRDefault="00384202" w:rsidP="00384202">
            <w:pPr>
              <w:spacing w:after="0" w:line="240" w:lineRule="auto"/>
              <w:rPr>
                <w:rFonts w:ascii="Arial" w:hAnsi="Arial" w:cs="Arial"/>
                <w:color w:val="auto"/>
                <w:sz w:val="20"/>
                <w:szCs w:val="20"/>
              </w:rPr>
            </w:pPr>
            <w:r w:rsidRPr="00B75F2E">
              <w:rPr>
                <w:rFonts w:ascii="Arial" w:hAnsi="Arial" w:cs="Arial"/>
                <w:color w:val="auto"/>
                <w:sz w:val="20"/>
                <w:szCs w:val="20"/>
              </w:rPr>
              <w:t>9.0</w:t>
            </w:r>
          </w:p>
        </w:tc>
      </w:tr>
      <w:tr w:rsidR="00A70EBC" w:rsidRPr="00384202" w14:paraId="7329DA5B" w14:textId="77777777" w:rsidTr="00A70EBC">
        <w:trPr>
          <w:trHeight w:val="315"/>
        </w:trPr>
        <w:tc>
          <w:tcPr>
            <w:tcW w:w="4531" w:type="dxa"/>
            <w:noWrap/>
            <w:hideMark/>
          </w:tcPr>
          <w:p w14:paraId="582B9E7F"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Food supplies</w:t>
            </w:r>
          </w:p>
        </w:tc>
        <w:tc>
          <w:tcPr>
            <w:tcW w:w="1134" w:type="dxa"/>
          </w:tcPr>
          <w:p w14:paraId="1C6C449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D7G8</w:t>
            </w:r>
          </w:p>
        </w:tc>
        <w:tc>
          <w:tcPr>
            <w:tcW w:w="2835" w:type="dxa"/>
          </w:tcPr>
          <w:p w14:paraId="0090B951" w14:textId="2DB7F5AE"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01  Food and non-alcoholic beverages</w:t>
            </w:r>
          </w:p>
        </w:tc>
        <w:tc>
          <w:tcPr>
            <w:tcW w:w="1134" w:type="dxa"/>
          </w:tcPr>
          <w:p w14:paraId="4B22051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6.7</w:t>
            </w:r>
          </w:p>
        </w:tc>
      </w:tr>
      <w:tr w:rsidR="00A70EBC" w:rsidRPr="00384202" w14:paraId="27E19B69" w14:textId="77777777" w:rsidTr="00A70EBC">
        <w:trPr>
          <w:trHeight w:val="315"/>
        </w:trPr>
        <w:tc>
          <w:tcPr>
            <w:tcW w:w="4531" w:type="dxa"/>
            <w:noWrap/>
            <w:hideMark/>
          </w:tcPr>
          <w:p w14:paraId="27AAD7A9"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 xml:space="preserve">Domestic and cleaning supplies </w:t>
            </w:r>
          </w:p>
        </w:tc>
        <w:tc>
          <w:tcPr>
            <w:tcW w:w="1134" w:type="dxa"/>
          </w:tcPr>
          <w:p w14:paraId="602038F2"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D7GZ</w:t>
            </w:r>
          </w:p>
        </w:tc>
        <w:tc>
          <w:tcPr>
            <w:tcW w:w="2835" w:type="dxa"/>
          </w:tcPr>
          <w:p w14:paraId="4F3591DA"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05.6 Goods and services for routine maintenance</w:t>
            </w:r>
          </w:p>
        </w:tc>
        <w:tc>
          <w:tcPr>
            <w:tcW w:w="1134" w:type="dxa"/>
          </w:tcPr>
          <w:p w14:paraId="55292E49"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6.8</w:t>
            </w:r>
          </w:p>
        </w:tc>
      </w:tr>
      <w:tr w:rsidR="00A70EBC" w:rsidRPr="00384202" w14:paraId="161FB368" w14:textId="77777777" w:rsidTr="00A70EBC">
        <w:trPr>
          <w:trHeight w:val="315"/>
        </w:trPr>
        <w:tc>
          <w:tcPr>
            <w:tcW w:w="4531" w:type="dxa"/>
            <w:noWrap/>
            <w:hideMark/>
          </w:tcPr>
          <w:p w14:paraId="1513CC69"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Medical supplies (excluding PPE)</w:t>
            </w:r>
          </w:p>
        </w:tc>
        <w:tc>
          <w:tcPr>
            <w:tcW w:w="1134" w:type="dxa"/>
          </w:tcPr>
          <w:p w14:paraId="339593A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D7NO</w:t>
            </w:r>
          </w:p>
        </w:tc>
        <w:tc>
          <w:tcPr>
            <w:tcW w:w="2835" w:type="dxa"/>
          </w:tcPr>
          <w:p w14:paraId="0C4DB699"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06.1 Medical products, appliances, and equipment</w:t>
            </w:r>
          </w:p>
        </w:tc>
        <w:tc>
          <w:tcPr>
            <w:tcW w:w="1134" w:type="dxa"/>
          </w:tcPr>
          <w:p w14:paraId="1C62D20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1.3</w:t>
            </w:r>
          </w:p>
        </w:tc>
      </w:tr>
      <w:tr w:rsidR="00A70EBC" w:rsidRPr="00384202" w14:paraId="0700C7CB" w14:textId="77777777" w:rsidTr="00A70EBC">
        <w:trPr>
          <w:trHeight w:val="315"/>
        </w:trPr>
        <w:tc>
          <w:tcPr>
            <w:tcW w:w="4531" w:type="dxa"/>
            <w:noWrap/>
            <w:hideMark/>
          </w:tcPr>
          <w:p w14:paraId="593248FD"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PPE</w:t>
            </w:r>
          </w:p>
        </w:tc>
        <w:tc>
          <w:tcPr>
            <w:tcW w:w="1134" w:type="dxa"/>
          </w:tcPr>
          <w:p w14:paraId="7926F23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D7NO</w:t>
            </w:r>
          </w:p>
        </w:tc>
        <w:tc>
          <w:tcPr>
            <w:tcW w:w="2835" w:type="dxa"/>
          </w:tcPr>
          <w:p w14:paraId="66262B4C"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06.1 Medical products, appliances, and equipment</w:t>
            </w:r>
          </w:p>
        </w:tc>
        <w:tc>
          <w:tcPr>
            <w:tcW w:w="1134" w:type="dxa"/>
          </w:tcPr>
          <w:p w14:paraId="6157F938"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1.3</w:t>
            </w:r>
          </w:p>
        </w:tc>
      </w:tr>
      <w:tr w:rsidR="00A70EBC" w:rsidRPr="00384202" w14:paraId="5B643AF0" w14:textId="77777777" w:rsidTr="00A70EBC">
        <w:trPr>
          <w:trHeight w:val="315"/>
        </w:trPr>
        <w:tc>
          <w:tcPr>
            <w:tcW w:w="4531" w:type="dxa"/>
            <w:noWrap/>
            <w:hideMark/>
          </w:tcPr>
          <w:p w14:paraId="43FD602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Office Supplies</w:t>
            </w:r>
          </w:p>
        </w:tc>
        <w:tc>
          <w:tcPr>
            <w:tcW w:w="1134" w:type="dxa"/>
          </w:tcPr>
          <w:p w14:paraId="6A5FAFB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D7IH</w:t>
            </w:r>
          </w:p>
        </w:tc>
        <w:tc>
          <w:tcPr>
            <w:tcW w:w="2835" w:type="dxa"/>
          </w:tcPr>
          <w:p w14:paraId="73E49B47"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05.6.1 Non-durable household goods</w:t>
            </w:r>
          </w:p>
        </w:tc>
        <w:tc>
          <w:tcPr>
            <w:tcW w:w="1134" w:type="dxa"/>
          </w:tcPr>
          <w:p w14:paraId="2425DB8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10.3</w:t>
            </w:r>
          </w:p>
        </w:tc>
      </w:tr>
      <w:tr w:rsidR="00A70EBC" w:rsidRPr="00384202" w14:paraId="0FDF889E" w14:textId="77777777" w:rsidTr="00A70EBC">
        <w:trPr>
          <w:trHeight w:val="315"/>
        </w:trPr>
        <w:tc>
          <w:tcPr>
            <w:tcW w:w="4531" w:type="dxa"/>
            <w:noWrap/>
            <w:hideMark/>
          </w:tcPr>
          <w:p w14:paraId="2F35E20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Insurance (all risks)</w:t>
            </w:r>
          </w:p>
        </w:tc>
        <w:tc>
          <w:tcPr>
            <w:tcW w:w="1134" w:type="dxa"/>
          </w:tcPr>
          <w:p w14:paraId="412DF6E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D7HF</w:t>
            </w:r>
          </w:p>
        </w:tc>
        <w:tc>
          <w:tcPr>
            <w:tcW w:w="2835" w:type="dxa"/>
          </w:tcPr>
          <w:p w14:paraId="1B6597C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12.5 Insurance</w:t>
            </w:r>
          </w:p>
        </w:tc>
        <w:tc>
          <w:tcPr>
            <w:tcW w:w="1134" w:type="dxa"/>
          </w:tcPr>
          <w:p w14:paraId="237D101A"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11.7</w:t>
            </w:r>
          </w:p>
        </w:tc>
      </w:tr>
      <w:tr w:rsidR="00A70EBC" w:rsidRPr="00384202" w14:paraId="7D9DF4E9" w14:textId="77777777" w:rsidTr="00A70EBC">
        <w:trPr>
          <w:trHeight w:val="315"/>
        </w:trPr>
        <w:tc>
          <w:tcPr>
            <w:tcW w:w="4531" w:type="dxa"/>
            <w:noWrap/>
            <w:hideMark/>
          </w:tcPr>
          <w:p w14:paraId="0D88E0B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Registration fees</w:t>
            </w:r>
          </w:p>
        </w:tc>
        <w:tc>
          <w:tcPr>
            <w:tcW w:w="1134" w:type="dxa"/>
          </w:tcPr>
          <w:p w14:paraId="572121EC"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D7G7</w:t>
            </w:r>
          </w:p>
        </w:tc>
        <w:tc>
          <w:tcPr>
            <w:tcW w:w="2835" w:type="dxa"/>
          </w:tcPr>
          <w:p w14:paraId="2D1F2DF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CPI (overall index)</w:t>
            </w:r>
          </w:p>
        </w:tc>
        <w:tc>
          <w:tcPr>
            <w:tcW w:w="1134" w:type="dxa"/>
          </w:tcPr>
          <w:p w14:paraId="2033C87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9.0</w:t>
            </w:r>
          </w:p>
        </w:tc>
      </w:tr>
      <w:tr w:rsidR="00A70EBC" w:rsidRPr="00384202" w14:paraId="35D5693B" w14:textId="77777777" w:rsidTr="00A70EBC">
        <w:trPr>
          <w:trHeight w:val="315"/>
        </w:trPr>
        <w:tc>
          <w:tcPr>
            <w:tcW w:w="4531" w:type="dxa"/>
            <w:noWrap/>
            <w:hideMark/>
          </w:tcPr>
          <w:p w14:paraId="2FC988A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Telephone &amp; internet</w:t>
            </w:r>
          </w:p>
        </w:tc>
        <w:tc>
          <w:tcPr>
            <w:tcW w:w="1134" w:type="dxa"/>
          </w:tcPr>
          <w:p w14:paraId="618B573C"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D7GF</w:t>
            </w:r>
          </w:p>
        </w:tc>
        <w:tc>
          <w:tcPr>
            <w:tcW w:w="2835" w:type="dxa"/>
          </w:tcPr>
          <w:p w14:paraId="399E955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08    Communication</w:t>
            </w:r>
          </w:p>
        </w:tc>
        <w:tc>
          <w:tcPr>
            <w:tcW w:w="1134" w:type="dxa"/>
          </w:tcPr>
          <w:p w14:paraId="13D38D03"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2.8</w:t>
            </w:r>
          </w:p>
        </w:tc>
      </w:tr>
      <w:tr w:rsidR="00A70EBC" w:rsidRPr="00384202" w14:paraId="2729A12D" w14:textId="77777777" w:rsidTr="00A70EBC">
        <w:trPr>
          <w:trHeight w:val="315"/>
        </w:trPr>
        <w:tc>
          <w:tcPr>
            <w:tcW w:w="4531" w:type="dxa"/>
            <w:noWrap/>
            <w:hideMark/>
          </w:tcPr>
          <w:p w14:paraId="5732DEAA"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Council tax / rates</w:t>
            </w:r>
          </w:p>
        </w:tc>
        <w:tc>
          <w:tcPr>
            <w:tcW w:w="1134" w:type="dxa"/>
          </w:tcPr>
          <w:p w14:paraId="5594FE9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CRQT</w:t>
            </w:r>
          </w:p>
        </w:tc>
        <w:tc>
          <w:tcPr>
            <w:tcW w:w="2835" w:type="dxa"/>
          </w:tcPr>
          <w:p w14:paraId="4FF8CB97"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Council tax and rates (CPIH)</w:t>
            </w:r>
            <w:r w:rsidRPr="00384202">
              <w:rPr>
                <w:rFonts w:ascii="Arial" w:hAnsi="Arial" w:cs="Arial"/>
                <w:color w:val="auto"/>
                <w:sz w:val="20"/>
                <w:szCs w:val="20"/>
                <w:vertAlign w:val="superscript"/>
              </w:rPr>
              <w:footnoteReference w:id="7"/>
            </w:r>
          </w:p>
        </w:tc>
        <w:tc>
          <w:tcPr>
            <w:tcW w:w="1134" w:type="dxa"/>
          </w:tcPr>
          <w:p w14:paraId="16A731A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7.9</w:t>
            </w:r>
          </w:p>
        </w:tc>
      </w:tr>
      <w:tr w:rsidR="00A70EBC" w:rsidRPr="00384202" w14:paraId="244B5245" w14:textId="77777777" w:rsidTr="00A70EBC">
        <w:trPr>
          <w:trHeight w:val="315"/>
        </w:trPr>
        <w:tc>
          <w:tcPr>
            <w:tcW w:w="4531" w:type="dxa"/>
            <w:noWrap/>
            <w:hideMark/>
          </w:tcPr>
          <w:p w14:paraId="03190156"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Electricity, Gas &amp; Water</w:t>
            </w:r>
          </w:p>
        </w:tc>
        <w:tc>
          <w:tcPr>
            <w:tcW w:w="1134" w:type="dxa"/>
          </w:tcPr>
          <w:p w14:paraId="7154E66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D7GB</w:t>
            </w:r>
          </w:p>
        </w:tc>
        <w:tc>
          <w:tcPr>
            <w:tcW w:w="2835" w:type="dxa"/>
          </w:tcPr>
          <w:p w14:paraId="61170289" w14:textId="3C755FA4"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04  Housing, water, electricity, gas, and other fuels</w:t>
            </w:r>
          </w:p>
        </w:tc>
        <w:tc>
          <w:tcPr>
            <w:tcW w:w="1134" w:type="dxa"/>
          </w:tcPr>
          <w:p w14:paraId="4AC936E2"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19.2</w:t>
            </w:r>
          </w:p>
        </w:tc>
      </w:tr>
      <w:tr w:rsidR="00A70EBC" w:rsidRPr="00384202" w14:paraId="0972B2B5" w14:textId="77777777" w:rsidTr="00A70EBC">
        <w:trPr>
          <w:trHeight w:val="315"/>
        </w:trPr>
        <w:tc>
          <w:tcPr>
            <w:tcW w:w="4531" w:type="dxa"/>
            <w:noWrap/>
            <w:hideMark/>
          </w:tcPr>
          <w:p w14:paraId="789FF68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Trade and clinical waste</w:t>
            </w:r>
          </w:p>
        </w:tc>
        <w:tc>
          <w:tcPr>
            <w:tcW w:w="1134" w:type="dxa"/>
          </w:tcPr>
          <w:p w14:paraId="2BC2AF75"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D7G7</w:t>
            </w:r>
          </w:p>
        </w:tc>
        <w:tc>
          <w:tcPr>
            <w:tcW w:w="2835" w:type="dxa"/>
          </w:tcPr>
          <w:p w14:paraId="66D1D75F"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CPI (overall index)</w:t>
            </w:r>
          </w:p>
        </w:tc>
        <w:tc>
          <w:tcPr>
            <w:tcW w:w="1134" w:type="dxa"/>
          </w:tcPr>
          <w:p w14:paraId="1B403660"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9.0</w:t>
            </w:r>
          </w:p>
        </w:tc>
      </w:tr>
      <w:tr w:rsidR="00A70EBC" w:rsidRPr="00384202" w14:paraId="0F614463" w14:textId="77777777" w:rsidTr="00A70EBC">
        <w:trPr>
          <w:trHeight w:val="315"/>
        </w:trPr>
        <w:tc>
          <w:tcPr>
            <w:tcW w:w="4531" w:type="dxa"/>
            <w:noWrap/>
            <w:hideMark/>
          </w:tcPr>
          <w:p w14:paraId="103E7537"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Transport &amp; Activities</w:t>
            </w:r>
          </w:p>
        </w:tc>
        <w:tc>
          <w:tcPr>
            <w:tcW w:w="1134" w:type="dxa"/>
          </w:tcPr>
          <w:p w14:paraId="47237FF1"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D7GG</w:t>
            </w:r>
          </w:p>
        </w:tc>
        <w:tc>
          <w:tcPr>
            <w:tcW w:w="2835" w:type="dxa"/>
          </w:tcPr>
          <w:p w14:paraId="37F02CE6" w14:textId="05C0CF76"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09  Recreation and Culture</w:t>
            </w:r>
          </w:p>
        </w:tc>
        <w:tc>
          <w:tcPr>
            <w:tcW w:w="1134" w:type="dxa"/>
          </w:tcPr>
          <w:p w14:paraId="13F7400F"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5.9</w:t>
            </w:r>
          </w:p>
        </w:tc>
      </w:tr>
      <w:tr w:rsidR="00A70EBC" w:rsidRPr="00384202" w14:paraId="2AE70B9E" w14:textId="77777777" w:rsidTr="00A70EBC">
        <w:trPr>
          <w:trHeight w:val="315"/>
        </w:trPr>
        <w:tc>
          <w:tcPr>
            <w:tcW w:w="4531" w:type="dxa"/>
            <w:noWrap/>
            <w:hideMark/>
          </w:tcPr>
          <w:p w14:paraId="218941A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i/>
                <w:iCs/>
                <w:color w:val="auto"/>
                <w:sz w:val="20"/>
                <w:szCs w:val="20"/>
              </w:rPr>
              <w:t>Other care home supplies and services costs</w:t>
            </w:r>
          </w:p>
        </w:tc>
        <w:tc>
          <w:tcPr>
            <w:tcW w:w="1134" w:type="dxa"/>
          </w:tcPr>
          <w:p w14:paraId="29A7E27B"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color w:val="auto"/>
                <w:sz w:val="20"/>
                <w:szCs w:val="20"/>
              </w:rPr>
              <w:t>D7G7</w:t>
            </w:r>
          </w:p>
        </w:tc>
        <w:tc>
          <w:tcPr>
            <w:tcW w:w="2835" w:type="dxa"/>
          </w:tcPr>
          <w:p w14:paraId="28A8617A"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color w:val="auto"/>
                <w:sz w:val="20"/>
                <w:szCs w:val="20"/>
              </w:rPr>
              <w:t>CPI (overall index)</w:t>
            </w:r>
          </w:p>
        </w:tc>
        <w:tc>
          <w:tcPr>
            <w:tcW w:w="1134" w:type="dxa"/>
          </w:tcPr>
          <w:p w14:paraId="5EB04229"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color w:val="auto"/>
                <w:sz w:val="20"/>
                <w:szCs w:val="20"/>
              </w:rPr>
              <w:t>9.0</w:t>
            </w:r>
          </w:p>
        </w:tc>
      </w:tr>
      <w:tr w:rsidR="00A70EBC" w:rsidRPr="00384202" w14:paraId="3292915E" w14:textId="77777777" w:rsidTr="00A70EBC">
        <w:trPr>
          <w:trHeight w:val="315"/>
        </w:trPr>
        <w:tc>
          <w:tcPr>
            <w:tcW w:w="4531" w:type="dxa"/>
            <w:noWrap/>
            <w:hideMark/>
          </w:tcPr>
          <w:p w14:paraId="7CB57560"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Central / Regional Management</w:t>
            </w:r>
          </w:p>
        </w:tc>
        <w:tc>
          <w:tcPr>
            <w:tcW w:w="1134" w:type="dxa"/>
          </w:tcPr>
          <w:p w14:paraId="5864E0E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D7NN</w:t>
            </w:r>
          </w:p>
        </w:tc>
        <w:tc>
          <w:tcPr>
            <w:tcW w:w="2835" w:type="dxa"/>
          </w:tcPr>
          <w:p w14:paraId="3115EA72"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All services</w:t>
            </w:r>
          </w:p>
        </w:tc>
        <w:tc>
          <w:tcPr>
            <w:tcW w:w="1134" w:type="dxa"/>
          </w:tcPr>
          <w:p w14:paraId="30CFE50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4.7</w:t>
            </w:r>
          </w:p>
        </w:tc>
      </w:tr>
      <w:tr w:rsidR="00A70EBC" w:rsidRPr="00384202" w14:paraId="28B50E6B" w14:textId="77777777" w:rsidTr="00A70EBC">
        <w:trPr>
          <w:trHeight w:val="315"/>
        </w:trPr>
        <w:tc>
          <w:tcPr>
            <w:tcW w:w="4531" w:type="dxa"/>
            <w:noWrap/>
            <w:hideMark/>
          </w:tcPr>
          <w:p w14:paraId="3BDF89B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Support Services (finance / HR / legal / marketing etc.)</w:t>
            </w:r>
          </w:p>
        </w:tc>
        <w:tc>
          <w:tcPr>
            <w:tcW w:w="1134" w:type="dxa"/>
          </w:tcPr>
          <w:p w14:paraId="09B3A8D3"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D7NN</w:t>
            </w:r>
          </w:p>
        </w:tc>
        <w:tc>
          <w:tcPr>
            <w:tcW w:w="2835" w:type="dxa"/>
          </w:tcPr>
          <w:p w14:paraId="4C604A9E"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All services</w:t>
            </w:r>
          </w:p>
        </w:tc>
        <w:tc>
          <w:tcPr>
            <w:tcW w:w="1134" w:type="dxa"/>
          </w:tcPr>
          <w:p w14:paraId="251B706F"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4.7</w:t>
            </w:r>
          </w:p>
        </w:tc>
      </w:tr>
      <w:tr w:rsidR="00A70EBC" w:rsidRPr="00384202" w14:paraId="017AEE2F" w14:textId="77777777" w:rsidTr="00A70EBC">
        <w:trPr>
          <w:trHeight w:val="315"/>
        </w:trPr>
        <w:tc>
          <w:tcPr>
            <w:tcW w:w="4531" w:type="dxa"/>
            <w:noWrap/>
            <w:hideMark/>
          </w:tcPr>
          <w:p w14:paraId="44F6EC46"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Recruitment, Training &amp; Vetting (incl. DBS checks)</w:t>
            </w:r>
          </w:p>
        </w:tc>
        <w:tc>
          <w:tcPr>
            <w:tcW w:w="1134" w:type="dxa"/>
          </w:tcPr>
          <w:p w14:paraId="4FD30542"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D7NN</w:t>
            </w:r>
          </w:p>
        </w:tc>
        <w:tc>
          <w:tcPr>
            <w:tcW w:w="2835" w:type="dxa"/>
          </w:tcPr>
          <w:p w14:paraId="6D7D87EB"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All services</w:t>
            </w:r>
          </w:p>
        </w:tc>
        <w:tc>
          <w:tcPr>
            <w:tcW w:w="1134" w:type="dxa"/>
          </w:tcPr>
          <w:p w14:paraId="03D44580"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color w:val="auto"/>
                <w:sz w:val="20"/>
                <w:szCs w:val="20"/>
              </w:rPr>
              <w:t>4.7</w:t>
            </w:r>
          </w:p>
        </w:tc>
      </w:tr>
      <w:tr w:rsidR="00A70EBC" w:rsidRPr="00384202" w14:paraId="750F0DB5" w14:textId="77777777" w:rsidTr="00A70EBC">
        <w:trPr>
          <w:trHeight w:val="315"/>
        </w:trPr>
        <w:tc>
          <w:tcPr>
            <w:tcW w:w="4531" w:type="dxa"/>
            <w:noWrap/>
            <w:hideMark/>
          </w:tcPr>
          <w:p w14:paraId="64103AC4" w14:textId="77777777" w:rsidR="00384202" w:rsidRPr="00384202" w:rsidRDefault="00384202" w:rsidP="00384202">
            <w:pPr>
              <w:spacing w:after="0" w:line="240" w:lineRule="auto"/>
              <w:rPr>
                <w:rFonts w:ascii="Arial" w:hAnsi="Arial" w:cs="Arial"/>
                <w:color w:val="auto"/>
                <w:sz w:val="20"/>
                <w:szCs w:val="20"/>
              </w:rPr>
            </w:pPr>
            <w:r w:rsidRPr="00384202">
              <w:rPr>
                <w:rFonts w:ascii="Arial" w:hAnsi="Arial" w:cs="Arial"/>
                <w:i/>
                <w:iCs/>
                <w:color w:val="auto"/>
                <w:sz w:val="20"/>
                <w:szCs w:val="20"/>
              </w:rPr>
              <w:t>Other head office costs (please specify)</w:t>
            </w:r>
          </w:p>
        </w:tc>
        <w:tc>
          <w:tcPr>
            <w:tcW w:w="1134" w:type="dxa"/>
          </w:tcPr>
          <w:p w14:paraId="5DAB6C29"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i/>
                <w:iCs/>
                <w:color w:val="auto"/>
                <w:sz w:val="20"/>
                <w:szCs w:val="20"/>
              </w:rPr>
              <w:t>D7OB</w:t>
            </w:r>
          </w:p>
        </w:tc>
        <w:tc>
          <w:tcPr>
            <w:tcW w:w="2835" w:type="dxa"/>
          </w:tcPr>
          <w:p w14:paraId="146148F9" w14:textId="77777777" w:rsidR="00384202" w:rsidRPr="00384202" w:rsidRDefault="00384202" w:rsidP="00384202">
            <w:pPr>
              <w:spacing w:after="0" w:line="240" w:lineRule="auto"/>
              <w:rPr>
                <w:rFonts w:ascii="Arial" w:hAnsi="Arial" w:cs="Arial"/>
                <w:i/>
                <w:iCs/>
                <w:color w:val="auto"/>
                <w:sz w:val="20"/>
                <w:szCs w:val="20"/>
              </w:rPr>
            </w:pPr>
            <w:r w:rsidRPr="00384202">
              <w:rPr>
                <w:rFonts w:ascii="Arial" w:hAnsi="Arial" w:cs="Arial"/>
                <w:i/>
                <w:iCs/>
                <w:color w:val="auto"/>
                <w:sz w:val="20"/>
                <w:szCs w:val="20"/>
              </w:rPr>
              <w:t>12.7 Other services (NEC)</w:t>
            </w:r>
          </w:p>
        </w:tc>
        <w:tc>
          <w:tcPr>
            <w:tcW w:w="1134" w:type="dxa"/>
          </w:tcPr>
          <w:p w14:paraId="73393765" w14:textId="77777777" w:rsidR="00384202" w:rsidRPr="00B75F2E" w:rsidRDefault="00384202" w:rsidP="00384202">
            <w:pPr>
              <w:spacing w:after="0" w:line="240" w:lineRule="auto"/>
              <w:rPr>
                <w:rFonts w:ascii="Arial" w:hAnsi="Arial" w:cs="Arial"/>
                <w:color w:val="auto"/>
                <w:sz w:val="20"/>
                <w:szCs w:val="20"/>
              </w:rPr>
            </w:pPr>
            <w:r w:rsidRPr="00B75F2E">
              <w:rPr>
                <w:rFonts w:ascii="Arial" w:hAnsi="Arial" w:cs="Arial"/>
                <w:color w:val="auto"/>
                <w:sz w:val="20"/>
                <w:szCs w:val="20"/>
              </w:rPr>
              <w:t>-3.1</w:t>
            </w:r>
          </w:p>
        </w:tc>
      </w:tr>
    </w:tbl>
    <w:p w14:paraId="5D8DC7DF" w14:textId="77777777" w:rsidR="00384202" w:rsidRPr="00384202" w:rsidRDefault="00384202" w:rsidP="00384202">
      <w:r w:rsidRPr="00384202">
        <w:rPr>
          <w:rFonts w:eastAsia="Times New Roman" w:cstheme="minorHAnsi"/>
          <w:color w:val="auto"/>
          <w:sz w:val="18"/>
          <w:szCs w:val="18"/>
          <w:lang w:eastAsia="en-GB"/>
        </w:rPr>
        <w:t>Source: Office for National Statistics for different CPI series</w:t>
      </w:r>
    </w:p>
    <w:p w14:paraId="449BDC49" w14:textId="77777777" w:rsidR="00995855" w:rsidRPr="0084182A" w:rsidRDefault="00995855" w:rsidP="00995855">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20" w:name="_Toc114240159"/>
      <w:r w:rsidRPr="0084182A">
        <w:rPr>
          <w:rFonts w:ascii="Arial" w:eastAsia="Times New Roman" w:hAnsi="Arial" w:cs="Arial"/>
          <w:color w:val="auto"/>
          <w:lang w:eastAsia="en-GB"/>
        </w:rPr>
        <w:lastRenderedPageBreak/>
        <w:t>2.9 Return on capital and return on operations</w:t>
      </w:r>
      <w:bookmarkEnd w:id="20"/>
    </w:p>
    <w:p w14:paraId="2A5EC618" w14:textId="77777777" w:rsidR="00995855" w:rsidRPr="00995855" w:rsidRDefault="00995855" w:rsidP="00995855">
      <w:pPr>
        <w:spacing w:after="0" w:line="280" w:lineRule="exact"/>
        <w:jc w:val="both"/>
        <w:rPr>
          <w:rFonts w:ascii="Arial" w:hAnsi="Arial" w:cs="Arial"/>
        </w:rPr>
      </w:pPr>
    </w:p>
    <w:p w14:paraId="10E25DF0" w14:textId="60AE8D53" w:rsidR="00995855" w:rsidRPr="00B90BF0" w:rsidRDefault="00995855" w:rsidP="00995855">
      <w:pPr>
        <w:spacing w:after="0" w:line="280" w:lineRule="exact"/>
        <w:jc w:val="both"/>
        <w:rPr>
          <w:rFonts w:ascii="Arial" w:hAnsi="Arial" w:cs="Arial"/>
          <w:color w:val="auto"/>
        </w:rPr>
      </w:pPr>
      <w:r w:rsidRPr="00B90BF0">
        <w:rPr>
          <w:rFonts w:ascii="Arial" w:hAnsi="Arial" w:cs="Arial"/>
          <w:color w:val="auto"/>
        </w:rPr>
        <w:t xml:space="preserve">DHSC guidance indicates that councils should determine, on the basis of available evidence, the appropriate return on capital and return on operations rates that should be added to operating costs (calculated at medians from validated toolkit responses) in order to arrive at the median total cost for each of the four modalities of care in the </w:t>
      </w:r>
      <w:r w:rsidR="0029380F">
        <w:rPr>
          <w:rFonts w:ascii="Arial" w:hAnsi="Arial" w:cs="Arial"/>
          <w:color w:val="auto"/>
        </w:rPr>
        <w:t>CoC</w:t>
      </w:r>
      <w:r w:rsidRPr="00B90BF0">
        <w:rPr>
          <w:rFonts w:ascii="Arial" w:hAnsi="Arial" w:cs="Arial"/>
          <w:color w:val="auto"/>
        </w:rPr>
        <w:t xml:space="preserve"> returns, and that these rates should be evidence based. The rates </w:t>
      </w:r>
      <w:r w:rsidR="00997332">
        <w:rPr>
          <w:rFonts w:ascii="Arial" w:hAnsi="Arial" w:cs="Arial"/>
          <w:color w:val="auto"/>
        </w:rPr>
        <w:t>assumed</w:t>
      </w:r>
      <w:r w:rsidR="00997332" w:rsidRPr="00B90BF0">
        <w:rPr>
          <w:rFonts w:ascii="Arial" w:hAnsi="Arial" w:cs="Arial"/>
          <w:color w:val="auto"/>
        </w:rPr>
        <w:t xml:space="preserve"> </w:t>
      </w:r>
      <w:r w:rsidRPr="00B90BF0">
        <w:rPr>
          <w:rFonts w:ascii="Arial" w:hAnsi="Arial" w:cs="Arial"/>
          <w:color w:val="auto"/>
        </w:rPr>
        <w:t>by LaingBuisson are:</w:t>
      </w:r>
    </w:p>
    <w:p w14:paraId="573A8425" w14:textId="77777777" w:rsidR="00995855" w:rsidRPr="00B90BF0" w:rsidRDefault="00995855" w:rsidP="00995855">
      <w:pPr>
        <w:spacing w:after="0" w:line="280" w:lineRule="exact"/>
        <w:jc w:val="both"/>
        <w:rPr>
          <w:rFonts w:ascii="Arial" w:hAnsi="Arial" w:cs="Arial"/>
          <w:color w:val="auto"/>
        </w:rPr>
      </w:pPr>
    </w:p>
    <w:p w14:paraId="7AEC75FA" w14:textId="3E5408B1" w:rsidR="00995855" w:rsidRPr="00B90BF0" w:rsidRDefault="00995855" w:rsidP="00EC7E75">
      <w:pPr>
        <w:numPr>
          <w:ilvl w:val="0"/>
          <w:numId w:val="6"/>
        </w:numPr>
        <w:suppressAutoHyphens/>
        <w:spacing w:after="0" w:line="280" w:lineRule="exact"/>
        <w:jc w:val="both"/>
        <w:rPr>
          <w:rFonts w:ascii="Arial" w:eastAsia="Times New Roman" w:hAnsi="Arial" w:cs="Arial"/>
          <w:color w:val="auto"/>
          <w:lang w:eastAsia="en-GB"/>
        </w:rPr>
      </w:pPr>
      <w:r w:rsidRPr="00B90BF0">
        <w:rPr>
          <w:rFonts w:ascii="Arial" w:eastAsia="Times New Roman" w:hAnsi="Arial" w:cs="Arial"/>
          <w:color w:val="auto"/>
          <w:lang w:eastAsia="en-GB"/>
        </w:rPr>
        <w:t>Return on capital</w:t>
      </w:r>
      <w:r w:rsidR="002B4734">
        <w:rPr>
          <w:rFonts w:ascii="Arial" w:eastAsia="Times New Roman" w:hAnsi="Arial" w:cs="Arial"/>
          <w:color w:val="auto"/>
          <w:lang w:eastAsia="en-GB"/>
        </w:rPr>
        <w:t xml:space="preserve"> </w:t>
      </w:r>
      <w:r w:rsidRPr="00B90BF0">
        <w:rPr>
          <w:rFonts w:ascii="Arial" w:eastAsia="Times New Roman" w:hAnsi="Arial" w:cs="Arial"/>
          <w:color w:val="auto"/>
          <w:lang w:eastAsia="en-GB"/>
        </w:rPr>
        <w:t>6% per annum</w:t>
      </w:r>
    </w:p>
    <w:p w14:paraId="5C76DF4B" w14:textId="42F83973" w:rsidR="00995855" w:rsidRPr="00B90BF0" w:rsidRDefault="00995855" w:rsidP="00EC7E75">
      <w:pPr>
        <w:numPr>
          <w:ilvl w:val="0"/>
          <w:numId w:val="6"/>
        </w:numPr>
        <w:suppressAutoHyphens/>
        <w:spacing w:after="0" w:line="280" w:lineRule="exact"/>
        <w:jc w:val="both"/>
        <w:rPr>
          <w:rFonts w:ascii="Arial" w:eastAsia="Times New Roman" w:hAnsi="Arial" w:cs="Arial"/>
          <w:color w:val="auto"/>
          <w:lang w:eastAsia="en-GB"/>
        </w:rPr>
      </w:pPr>
      <w:r w:rsidRPr="00B90BF0">
        <w:rPr>
          <w:rFonts w:ascii="Arial" w:eastAsia="Times New Roman" w:hAnsi="Arial" w:cs="Arial"/>
          <w:color w:val="auto"/>
          <w:lang w:eastAsia="en-GB"/>
        </w:rPr>
        <w:t>Return on operations</w:t>
      </w:r>
      <w:r w:rsidR="002B4734">
        <w:rPr>
          <w:rFonts w:ascii="Arial" w:eastAsia="Times New Roman" w:hAnsi="Arial" w:cs="Arial"/>
          <w:color w:val="auto"/>
          <w:lang w:eastAsia="en-GB"/>
        </w:rPr>
        <w:t xml:space="preserve"> </w:t>
      </w:r>
      <w:r w:rsidRPr="00B90BF0">
        <w:rPr>
          <w:rFonts w:ascii="Arial" w:eastAsia="Times New Roman" w:hAnsi="Arial" w:cs="Arial"/>
          <w:color w:val="auto"/>
          <w:lang w:eastAsia="en-GB"/>
        </w:rPr>
        <w:t>10% mark-up on operating costs</w:t>
      </w:r>
    </w:p>
    <w:p w14:paraId="57613A9A" w14:textId="77777777" w:rsidR="00995855" w:rsidRPr="00B90BF0" w:rsidRDefault="00995855" w:rsidP="00995855">
      <w:pPr>
        <w:spacing w:after="0" w:line="280" w:lineRule="exact"/>
        <w:jc w:val="both"/>
        <w:rPr>
          <w:rFonts w:ascii="Arial" w:hAnsi="Arial" w:cs="Arial"/>
          <w:color w:val="auto"/>
        </w:rPr>
      </w:pPr>
    </w:p>
    <w:p w14:paraId="48121789" w14:textId="56E42F76" w:rsidR="00995855" w:rsidRDefault="00402224" w:rsidP="00995855">
      <w:pPr>
        <w:spacing w:after="0" w:line="280" w:lineRule="exact"/>
        <w:jc w:val="both"/>
        <w:rPr>
          <w:rFonts w:ascii="Arial" w:hAnsi="Arial" w:cs="Arial"/>
          <w:color w:val="auto"/>
        </w:rPr>
      </w:pPr>
      <w:r w:rsidRPr="00384202">
        <w:rPr>
          <w:rFonts w:ascii="Arial" w:hAnsi="Arial" w:cs="Arial"/>
          <w:b/>
          <w:bCs/>
          <w:color w:val="auto"/>
        </w:rPr>
        <w:t>The council has determined that the return on operations should be 5%</w:t>
      </w:r>
      <w:r w:rsidR="0084149B">
        <w:rPr>
          <w:rFonts w:ascii="Arial" w:hAnsi="Arial" w:cs="Arial"/>
          <w:color w:val="auto"/>
        </w:rPr>
        <w:t>. The council’s rationale is set out below:</w:t>
      </w:r>
    </w:p>
    <w:p w14:paraId="727E06B8" w14:textId="67D4C0D2" w:rsidR="0084149B" w:rsidRDefault="0084149B" w:rsidP="00995855">
      <w:pPr>
        <w:spacing w:after="0" w:line="280" w:lineRule="exact"/>
        <w:jc w:val="both"/>
        <w:rPr>
          <w:rFonts w:ascii="Arial" w:hAnsi="Arial" w:cs="Arial"/>
          <w:color w:val="auto"/>
        </w:rPr>
      </w:pPr>
    </w:p>
    <w:p w14:paraId="6786BD9F" w14:textId="77777777" w:rsidR="0084149B" w:rsidRPr="00995855" w:rsidRDefault="0084149B" w:rsidP="0084149B">
      <w:pPr>
        <w:spacing w:after="0" w:line="280" w:lineRule="exact"/>
        <w:jc w:val="both"/>
        <w:rPr>
          <w:rFonts w:ascii="Arial" w:hAnsi="Arial" w:cs="Arial"/>
          <w:color w:val="auto"/>
        </w:rPr>
      </w:pPr>
      <w:r w:rsidRPr="00B92757">
        <w:rPr>
          <w:rFonts w:ascii="Arial" w:hAnsi="Arial" w:cs="Arial"/>
          <w:color w:val="auto"/>
        </w:rPr>
        <w:t xml:space="preserve">Return on operations based on validated toolkit submissions </w:t>
      </w:r>
      <w:r>
        <w:rPr>
          <w:rFonts w:ascii="Arial" w:hAnsi="Arial" w:cs="Arial"/>
          <w:color w:val="auto"/>
        </w:rPr>
        <w:t>was</w:t>
      </w:r>
      <w:r w:rsidRPr="00B92757">
        <w:rPr>
          <w:rFonts w:ascii="Arial" w:hAnsi="Arial" w:cs="Arial"/>
          <w:color w:val="auto"/>
        </w:rPr>
        <w:t xml:space="preserve"> calculated at 5% of the Operating cost subtotals in Table 4. The median return on operations entered in the toolkit submissions was </w:t>
      </w:r>
      <w:r>
        <w:rPr>
          <w:rFonts w:ascii="Arial" w:hAnsi="Arial" w:cs="Arial"/>
          <w:color w:val="auto"/>
        </w:rPr>
        <w:t xml:space="preserve">also </w:t>
      </w:r>
      <w:r w:rsidRPr="00B92757">
        <w:rPr>
          <w:rFonts w:ascii="Arial" w:hAnsi="Arial" w:cs="Arial"/>
          <w:color w:val="auto"/>
        </w:rPr>
        <w:t>5%.</w:t>
      </w:r>
    </w:p>
    <w:p w14:paraId="3725703A" w14:textId="77777777" w:rsidR="0084149B" w:rsidRDefault="0084149B" w:rsidP="0084149B">
      <w:pPr>
        <w:spacing w:after="0" w:line="280" w:lineRule="exact"/>
        <w:jc w:val="both"/>
        <w:rPr>
          <w:rFonts w:ascii="Arial" w:hAnsi="Arial" w:cs="Arial"/>
          <w:color w:val="auto"/>
        </w:rPr>
      </w:pPr>
    </w:p>
    <w:p w14:paraId="324F3764" w14:textId="5DF265B9" w:rsidR="0084149B" w:rsidRDefault="0084149B" w:rsidP="0084149B">
      <w:pPr>
        <w:spacing w:after="0" w:line="280" w:lineRule="exact"/>
        <w:jc w:val="both"/>
        <w:rPr>
          <w:rFonts w:ascii="Arial" w:hAnsi="Arial" w:cs="Arial"/>
          <w:color w:val="auto"/>
        </w:rPr>
      </w:pPr>
      <w:r>
        <w:rPr>
          <w:rFonts w:ascii="Arial" w:hAnsi="Arial" w:cs="Arial"/>
          <w:color w:val="auto"/>
        </w:rPr>
        <w:t xml:space="preserve">The council </w:t>
      </w:r>
      <w:r w:rsidR="0029380F" w:rsidRPr="0029380F">
        <w:rPr>
          <w:rFonts w:ascii="Arial" w:hAnsi="Arial" w:cs="Arial"/>
          <w:color w:val="auto"/>
        </w:rPr>
        <w:t xml:space="preserve">has not adopted the assumption </w:t>
      </w:r>
      <w:r>
        <w:rPr>
          <w:rFonts w:ascii="Arial" w:hAnsi="Arial" w:cs="Arial"/>
          <w:color w:val="auto"/>
        </w:rPr>
        <w:t>from LaingBuisson of a 10% operating return for the following reasons</w:t>
      </w:r>
      <w:r w:rsidR="00710951">
        <w:rPr>
          <w:rFonts w:ascii="Arial" w:hAnsi="Arial" w:cs="Arial"/>
          <w:color w:val="auto"/>
        </w:rPr>
        <w:t xml:space="preserve"> </w:t>
      </w:r>
    </w:p>
    <w:p w14:paraId="240CB466" w14:textId="2463403C" w:rsidR="0084149B" w:rsidRDefault="0084149B" w:rsidP="0084149B">
      <w:pPr>
        <w:spacing w:after="0" w:line="280" w:lineRule="exact"/>
        <w:jc w:val="both"/>
        <w:rPr>
          <w:rFonts w:ascii="Arial" w:hAnsi="Arial" w:cs="Arial"/>
          <w:color w:val="auto"/>
        </w:rPr>
      </w:pPr>
    </w:p>
    <w:p w14:paraId="167161F5" w14:textId="04010CB3" w:rsidR="0084149B" w:rsidRDefault="0084149B" w:rsidP="002B4734">
      <w:pPr>
        <w:pStyle w:val="ListParagraph"/>
        <w:numPr>
          <w:ilvl w:val="0"/>
          <w:numId w:val="11"/>
        </w:numPr>
        <w:spacing w:line="280" w:lineRule="exact"/>
        <w:jc w:val="both"/>
        <w:rPr>
          <w:rFonts w:ascii="Arial" w:hAnsi="Arial" w:cs="Arial"/>
          <w:color w:val="auto"/>
        </w:rPr>
      </w:pPr>
      <w:r>
        <w:rPr>
          <w:rFonts w:ascii="Arial" w:hAnsi="Arial" w:cs="Arial"/>
          <w:color w:val="auto"/>
        </w:rPr>
        <w:t xml:space="preserve">The  Cost of Care report describe </w:t>
      </w:r>
      <w:r w:rsidR="00B31F72">
        <w:rPr>
          <w:rFonts w:ascii="Arial" w:hAnsi="Arial" w:cs="Arial"/>
          <w:color w:val="auto"/>
        </w:rPr>
        <w:t>material</w:t>
      </w:r>
      <w:r>
        <w:rPr>
          <w:rFonts w:ascii="Arial" w:hAnsi="Arial" w:cs="Arial"/>
          <w:color w:val="auto"/>
        </w:rPr>
        <w:t xml:space="preserve"> flaws in the toolkit and the data received.</w:t>
      </w:r>
    </w:p>
    <w:p w14:paraId="16C7B0A0" w14:textId="55F01E56" w:rsidR="0084149B" w:rsidRDefault="0084149B" w:rsidP="002B4734">
      <w:pPr>
        <w:pStyle w:val="ListParagraph"/>
        <w:numPr>
          <w:ilvl w:val="0"/>
          <w:numId w:val="11"/>
        </w:numPr>
        <w:spacing w:line="280" w:lineRule="exact"/>
        <w:jc w:val="both"/>
        <w:rPr>
          <w:rFonts w:ascii="Arial" w:hAnsi="Arial" w:cs="Arial"/>
          <w:color w:val="auto"/>
        </w:rPr>
      </w:pPr>
      <w:r>
        <w:rPr>
          <w:rFonts w:ascii="Arial" w:hAnsi="Arial" w:cs="Arial"/>
          <w:color w:val="auto"/>
        </w:rPr>
        <w:t>The return rate of 50% of care homes does not provide adequate confidence that the medians derived are reasonable and reflective of the whole market.</w:t>
      </w:r>
    </w:p>
    <w:p w14:paraId="05CF9B95" w14:textId="66421884" w:rsidR="0084149B" w:rsidRDefault="0084149B" w:rsidP="002B4734">
      <w:pPr>
        <w:pStyle w:val="ListParagraph"/>
        <w:numPr>
          <w:ilvl w:val="0"/>
          <w:numId w:val="11"/>
        </w:numPr>
        <w:spacing w:line="280" w:lineRule="exact"/>
        <w:jc w:val="both"/>
        <w:rPr>
          <w:rFonts w:ascii="Arial" w:hAnsi="Arial" w:cs="Arial"/>
          <w:color w:val="auto"/>
        </w:rPr>
      </w:pPr>
      <w:r>
        <w:rPr>
          <w:rFonts w:ascii="Arial" w:hAnsi="Arial" w:cs="Arial"/>
          <w:color w:val="auto"/>
        </w:rPr>
        <w:t>Smaller providers are under-represented in the exercise.</w:t>
      </w:r>
    </w:p>
    <w:p w14:paraId="0890521D" w14:textId="72E2060A" w:rsidR="0084149B" w:rsidRDefault="0084149B" w:rsidP="0084149B">
      <w:pPr>
        <w:pStyle w:val="ListParagraph"/>
        <w:numPr>
          <w:ilvl w:val="0"/>
          <w:numId w:val="11"/>
        </w:numPr>
        <w:spacing w:line="280" w:lineRule="exact"/>
        <w:jc w:val="both"/>
        <w:rPr>
          <w:rFonts w:ascii="Arial" w:hAnsi="Arial" w:cs="Arial"/>
          <w:color w:val="auto"/>
        </w:rPr>
      </w:pPr>
      <w:r w:rsidRPr="000A5923">
        <w:rPr>
          <w:rFonts w:ascii="Arial" w:hAnsi="Arial" w:cs="Arial"/>
          <w:color w:val="auto"/>
        </w:rPr>
        <w:t>There  were no validated submissions from care homes located in South Oxfordshire</w:t>
      </w:r>
      <w:r>
        <w:rPr>
          <w:rFonts w:ascii="Arial" w:hAnsi="Arial" w:cs="Arial"/>
          <w:color w:val="auto"/>
        </w:rPr>
        <w:t>.</w:t>
      </w:r>
    </w:p>
    <w:p w14:paraId="23AAD1BE" w14:textId="37354F5C" w:rsidR="0084149B" w:rsidRDefault="0084149B" w:rsidP="0084149B">
      <w:pPr>
        <w:pStyle w:val="ListParagraph"/>
        <w:numPr>
          <w:ilvl w:val="0"/>
          <w:numId w:val="11"/>
        </w:numPr>
        <w:spacing w:line="280" w:lineRule="exact"/>
        <w:jc w:val="both"/>
        <w:rPr>
          <w:rFonts w:ascii="Arial" w:hAnsi="Arial" w:cs="Arial"/>
          <w:color w:val="auto"/>
        </w:rPr>
      </w:pPr>
      <w:r>
        <w:rPr>
          <w:rFonts w:ascii="Arial" w:hAnsi="Arial" w:cs="Arial"/>
          <w:color w:val="auto"/>
        </w:rPr>
        <w:t>The confidence intervals illustrated in Figure 1 indicate the cost of care median is higher than the council’s current median of fees paid, however the range is wide on each type of placement.</w:t>
      </w:r>
    </w:p>
    <w:p w14:paraId="6B3D2A22" w14:textId="4B03DBF7" w:rsidR="0084149B" w:rsidRDefault="0084149B" w:rsidP="0084149B">
      <w:pPr>
        <w:pStyle w:val="ListParagraph"/>
        <w:numPr>
          <w:ilvl w:val="0"/>
          <w:numId w:val="11"/>
        </w:numPr>
        <w:spacing w:line="280" w:lineRule="exact"/>
        <w:jc w:val="both"/>
        <w:rPr>
          <w:rFonts w:ascii="Arial" w:hAnsi="Arial" w:cs="Arial"/>
          <w:color w:val="auto"/>
        </w:rPr>
      </w:pPr>
      <w:r>
        <w:rPr>
          <w:rFonts w:ascii="Arial" w:hAnsi="Arial" w:cs="Arial"/>
          <w:color w:val="auto"/>
        </w:rPr>
        <w:t>The council is currently paying higher rates on new placements than suggested by the council median, which is skewed by the number of historic placements at lower rates</w:t>
      </w:r>
    </w:p>
    <w:p w14:paraId="4C30E61A" w14:textId="1F483E74" w:rsidR="0084149B" w:rsidRPr="00B90BF0" w:rsidRDefault="0084149B" w:rsidP="0084149B">
      <w:pPr>
        <w:pStyle w:val="ListParagraph"/>
        <w:numPr>
          <w:ilvl w:val="0"/>
          <w:numId w:val="11"/>
        </w:numPr>
        <w:spacing w:line="280" w:lineRule="exact"/>
        <w:jc w:val="both"/>
        <w:rPr>
          <w:rFonts w:ascii="Arial" w:hAnsi="Arial" w:cs="Arial"/>
          <w:color w:val="auto"/>
        </w:rPr>
      </w:pPr>
      <w:r>
        <w:rPr>
          <w:rFonts w:ascii="Arial" w:hAnsi="Arial" w:cs="Arial"/>
          <w:color w:val="auto"/>
        </w:rPr>
        <w:t>The council is responsible for good stewardship of public money, which supports targeting resources to greatest need to achieve high quality and stability in the market rather than necessarily allowing for higher profit margins by private companies – the current data do not give a clear enough picture of the expected profit by providers across the sector in Oxfordshire - there is a risk the providers which submitted returns are not representative of the wider market.</w:t>
      </w:r>
      <w:r w:rsidR="00EF3CA1">
        <w:rPr>
          <w:rFonts w:ascii="Arial" w:hAnsi="Arial" w:cs="Arial"/>
          <w:color w:val="auto"/>
        </w:rPr>
        <w:t xml:space="preserve"> </w:t>
      </w:r>
      <w:r>
        <w:rPr>
          <w:rFonts w:ascii="Arial" w:hAnsi="Arial" w:cs="Arial"/>
          <w:color w:val="auto"/>
        </w:rPr>
        <w:t>The council understands most other local authorities have generally adopted a 5% operating return. Applying a 10% operating return would make Oxfordshire a distinct outlier on our already significantly higher than average rates.  DHSC has indicated that councils already paying the  Cost of Care would not receive additional funding to pay higher; DHSC’s initial studies implied Oxfordshire already pays above the Cost of Care.</w:t>
      </w:r>
    </w:p>
    <w:p w14:paraId="67F61B6B" w14:textId="77777777" w:rsidR="0084149B" w:rsidRPr="00995855" w:rsidRDefault="0084149B" w:rsidP="00995855">
      <w:pPr>
        <w:spacing w:after="0" w:line="280" w:lineRule="exact"/>
        <w:jc w:val="both"/>
        <w:rPr>
          <w:rFonts w:ascii="Arial" w:hAnsi="Arial" w:cs="Arial"/>
          <w:color w:val="auto"/>
        </w:rPr>
      </w:pPr>
    </w:p>
    <w:p w14:paraId="5ED80904" w14:textId="71FE7004" w:rsidR="00C5346A" w:rsidRDefault="00C5346A" w:rsidP="00995855">
      <w:pPr>
        <w:spacing w:after="0" w:line="280" w:lineRule="exact"/>
        <w:jc w:val="both"/>
        <w:rPr>
          <w:rFonts w:ascii="Arial" w:hAnsi="Arial" w:cs="Arial"/>
          <w:color w:val="auto"/>
        </w:rPr>
      </w:pPr>
    </w:p>
    <w:p w14:paraId="491C4B01" w14:textId="77777777" w:rsidR="0013072B" w:rsidRDefault="0013072B" w:rsidP="00995855">
      <w:pPr>
        <w:spacing w:after="0" w:line="280" w:lineRule="exact"/>
        <w:jc w:val="both"/>
        <w:rPr>
          <w:rFonts w:ascii="Arial" w:hAnsi="Arial" w:cs="Arial"/>
          <w:color w:val="auto"/>
        </w:rPr>
      </w:pPr>
    </w:p>
    <w:p w14:paraId="06DF43E1" w14:textId="33820EB1" w:rsidR="00010DB4" w:rsidRDefault="00010DB4" w:rsidP="00995855">
      <w:pPr>
        <w:spacing w:after="0" w:line="280" w:lineRule="exact"/>
        <w:jc w:val="both"/>
        <w:rPr>
          <w:rFonts w:ascii="Arial" w:hAnsi="Arial" w:cs="Arial"/>
          <w:color w:val="auto"/>
        </w:rPr>
      </w:pPr>
      <w:r>
        <w:rPr>
          <w:rFonts w:ascii="Arial" w:hAnsi="Arial" w:cs="Arial"/>
          <w:color w:val="auto"/>
        </w:rPr>
        <w:t>Laing Buisson’s approach is set out in the following paragraphs</w:t>
      </w:r>
      <w:r w:rsidR="0084149B">
        <w:rPr>
          <w:rFonts w:ascii="Arial" w:hAnsi="Arial" w:cs="Arial"/>
          <w:color w:val="auto"/>
        </w:rPr>
        <w:t xml:space="preserve"> and in Appendix 1</w:t>
      </w:r>
      <w:r w:rsidR="004B5536">
        <w:rPr>
          <w:rFonts w:ascii="Arial" w:hAnsi="Arial" w:cs="Arial"/>
          <w:color w:val="auto"/>
        </w:rPr>
        <w:t xml:space="preserve"> of this care home report</w:t>
      </w:r>
      <w:r w:rsidR="006D4E3D">
        <w:rPr>
          <w:rFonts w:ascii="Arial" w:hAnsi="Arial" w:cs="Arial"/>
          <w:color w:val="auto"/>
        </w:rPr>
        <w:t>.</w:t>
      </w:r>
    </w:p>
    <w:p w14:paraId="22D56000" w14:textId="77777777" w:rsidR="00D17D29" w:rsidRDefault="00D17D29" w:rsidP="00995855">
      <w:pPr>
        <w:spacing w:after="0" w:line="280" w:lineRule="exact"/>
        <w:jc w:val="both"/>
        <w:rPr>
          <w:rFonts w:ascii="Arial" w:hAnsi="Arial" w:cs="Arial"/>
          <w:color w:val="auto"/>
        </w:rPr>
      </w:pPr>
    </w:p>
    <w:p w14:paraId="3029EA2D" w14:textId="0C35E5E7" w:rsidR="00910C0E" w:rsidRPr="00EF3CA1" w:rsidRDefault="00910C0E" w:rsidP="00995855">
      <w:pPr>
        <w:spacing w:after="0" w:line="280" w:lineRule="exact"/>
        <w:jc w:val="both"/>
        <w:rPr>
          <w:rFonts w:ascii="Arial" w:hAnsi="Arial" w:cs="Arial"/>
          <w:b/>
          <w:bCs/>
          <w:color w:val="auto"/>
        </w:rPr>
      </w:pPr>
      <w:r w:rsidRPr="00EF3CA1">
        <w:rPr>
          <w:rFonts w:ascii="Arial" w:hAnsi="Arial" w:cs="Arial"/>
          <w:b/>
          <w:bCs/>
          <w:color w:val="auto"/>
        </w:rPr>
        <w:lastRenderedPageBreak/>
        <w:t>The Council has determined that the return on capital should be 6%</w:t>
      </w:r>
    </w:p>
    <w:p w14:paraId="697AD4E0" w14:textId="77777777" w:rsidR="00010DB4" w:rsidRPr="00995855" w:rsidRDefault="00010DB4" w:rsidP="00995855">
      <w:pPr>
        <w:spacing w:after="0" w:line="280" w:lineRule="exact"/>
        <w:jc w:val="both"/>
        <w:rPr>
          <w:rFonts w:ascii="Arial" w:hAnsi="Arial" w:cs="Arial"/>
          <w:color w:val="auto"/>
        </w:rPr>
      </w:pPr>
    </w:p>
    <w:p w14:paraId="06F5E609" w14:textId="52C7C037" w:rsidR="00995855" w:rsidRPr="00A511ED" w:rsidRDefault="00995855" w:rsidP="00995855">
      <w:pPr>
        <w:spacing w:after="0" w:line="280" w:lineRule="exact"/>
        <w:jc w:val="both"/>
        <w:rPr>
          <w:rFonts w:ascii="Arial" w:eastAsia="Times New Roman" w:hAnsi="Arial" w:cs="Arial"/>
          <w:color w:val="auto"/>
          <w:lang w:eastAsia="en-GB"/>
        </w:rPr>
      </w:pPr>
      <w:r w:rsidRPr="00A511ED">
        <w:rPr>
          <w:rFonts w:ascii="Arial" w:hAnsi="Arial" w:cs="Arial"/>
          <w:color w:val="auto"/>
        </w:rPr>
        <w:t xml:space="preserve">In order to determine the £ value of return on capital, it is necessary to apply the rate of return to a capital value per resident. The capital value per resident can usually be derived from the toolkit submissions as the median of </w:t>
      </w:r>
      <w:r w:rsidRPr="00A511ED">
        <w:rPr>
          <w:rFonts w:ascii="Arial" w:eastAsia="Times New Roman" w:hAnsi="Arial" w:cs="Arial"/>
          <w:color w:val="auto"/>
          <w:lang w:eastAsia="en-GB"/>
        </w:rPr>
        <w:t xml:space="preserve">freehold valuation per bed (see Supporting Information at the foot of Table 4), divided by occupancy per registered bed (see also Supporting Information at the foot of Table 4), to express the £ value on a ‘per resident’ basis. The calculation for Oxfordshire </w:t>
      </w:r>
      <w:r w:rsidR="006D1D8D" w:rsidRPr="00A511ED">
        <w:rPr>
          <w:rFonts w:ascii="Arial" w:eastAsia="Times New Roman" w:hAnsi="Arial" w:cs="Arial"/>
          <w:color w:val="auto"/>
          <w:lang w:eastAsia="en-GB"/>
        </w:rPr>
        <w:t xml:space="preserve">County </w:t>
      </w:r>
      <w:r w:rsidRPr="00A511ED">
        <w:rPr>
          <w:rFonts w:ascii="Arial" w:eastAsia="Times New Roman" w:hAnsi="Arial" w:cs="Arial"/>
          <w:color w:val="auto"/>
          <w:lang w:eastAsia="en-GB"/>
        </w:rPr>
        <w:t>Council based on validated toolkit submissions at the date of this report is: 6% TIMES £136,678</w:t>
      </w:r>
      <w:r w:rsidRPr="00A511ED">
        <w:rPr>
          <w:rFonts w:ascii="Arial" w:hAnsi="Arial" w:cs="Arial"/>
        </w:rPr>
        <w:t xml:space="preserve"> </w:t>
      </w:r>
      <w:r w:rsidRPr="00A511ED">
        <w:rPr>
          <w:rFonts w:ascii="Arial" w:eastAsia="Times New Roman" w:hAnsi="Arial" w:cs="Arial"/>
          <w:color w:val="auto"/>
          <w:lang w:eastAsia="en-GB"/>
        </w:rPr>
        <w:t>DIVIDED BY 83.8% TIMES 7/365 = £187.68</w:t>
      </w:r>
      <w:r w:rsidRPr="00A511ED">
        <w:rPr>
          <w:rFonts w:ascii="Arial" w:hAnsi="Arial" w:cs="Arial"/>
        </w:rPr>
        <w:t xml:space="preserve"> </w:t>
      </w:r>
      <w:r w:rsidRPr="00A511ED">
        <w:rPr>
          <w:rFonts w:ascii="Arial" w:eastAsia="Times New Roman" w:hAnsi="Arial" w:cs="Arial"/>
          <w:color w:val="auto"/>
          <w:lang w:eastAsia="en-GB"/>
        </w:rPr>
        <w:t xml:space="preserve">per resident per week, reflecting the high capital costs of many Oxfordshire care homes targeted at private payers. However, following the rationale described in Section 2.11.1. </w:t>
      </w:r>
      <w:r w:rsidR="00910C0E">
        <w:rPr>
          <w:rFonts w:ascii="Arial" w:eastAsia="Times New Roman" w:hAnsi="Arial" w:cs="Arial"/>
          <w:color w:val="auto"/>
          <w:lang w:eastAsia="en-GB"/>
        </w:rPr>
        <w:t>a cap of</w:t>
      </w:r>
      <w:r w:rsidRPr="00A511ED">
        <w:rPr>
          <w:rFonts w:ascii="Arial" w:hAnsi="Arial" w:cs="Arial"/>
          <w:color w:val="auto"/>
        </w:rPr>
        <w:t xml:space="preserve"> £122,000 </w:t>
      </w:r>
      <w:r w:rsidR="00910C0E">
        <w:rPr>
          <w:rFonts w:ascii="Arial" w:hAnsi="Arial" w:cs="Arial"/>
          <w:color w:val="auto"/>
        </w:rPr>
        <w:t xml:space="preserve">has been applied </w:t>
      </w:r>
      <w:r w:rsidRPr="00A511ED">
        <w:rPr>
          <w:rFonts w:ascii="Arial" w:hAnsi="Arial" w:cs="Arial"/>
          <w:color w:val="auto"/>
        </w:rPr>
        <w:t>per occupied bed, being the new-build construction and land cost for a care home built to a local authority rather than private pay specification. Therefore, 6% has been applied to £122,000 to give a Return on Capital figure of  £140.38 per week at the foot of Table 4.</w:t>
      </w:r>
    </w:p>
    <w:p w14:paraId="228692F4" w14:textId="77777777" w:rsidR="00995855" w:rsidRPr="00384202" w:rsidRDefault="00995855" w:rsidP="00995855">
      <w:pPr>
        <w:spacing w:after="0" w:line="280" w:lineRule="exact"/>
        <w:jc w:val="both"/>
        <w:rPr>
          <w:rFonts w:ascii="Arial" w:eastAsia="Times New Roman" w:hAnsi="Arial" w:cs="Arial"/>
          <w:color w:val="auto"/>
          <w:highlight w:val="yellow"/>
          <w:lang w:eastAsia="en-GB"/>
        </w:rPr>
      </w:pPr>
    </w:p>
    <w:p w14:paraId="541FE43E"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21" w:name="_Toc114240160"/>
      <w:r w:rsidRPr="0084182A">
        <w:rPr>
          <w:rFonts w:ascii="Arial" w:eastAsia="Times New Roman" w:hAnsi="Arial" w:cs="Arial"/>
          <w:color w:val="auto"/>
          <w:lang w:eastAsia="en-GB"/>
        </w:rPr>
        <w:t>2.10 Analysis and results</w:t>
      </w:r>
      <w:bookmarkEnd w:id="21"/>
    </w:p>
    <w:p w14:paraId="6683FF41" w14:textId="77777777" w:rsidR="00995855" w:rsidRPr="00995855" w:rsidRDefault="00995855" w:rsidP="00995855">
      <w:pPr>
        <w:spacing w:after="0" w:line="280" w:lineRule="exact"/>
        <w:jc w:val="both"/>
        <w:rPr>
          <w:rFonts w:ascii="Arial" w:hAnsi="Arial" w:cs="Arial"/>
        </w:rPr>
      </w:pPr>
    </w:p>
    <w:p w14:paraId="70E44D8E" w14:textId="65F617B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 xml:space="preserve">Summary results for care homes located in Oxfordshire County are presented in </w:t>
      </w:r>
      <w:r w:rsidRPr="00A70EBC">
        <w:rPr>
          <w:rFonts w:ascii="Arial" w:hAnsi="Arial" w:cs="Arial"/>
          <w:color w:val="auto"/>
          <w:lang w:eastAsia="en-GB"/>
        </w:rPr>
        <w:t>Table 4</w:t>
      </w:r>
      <w:r w:rsidRPr="00995855">
        <w:rPr>
          <w:rFonts w:ascii="Arial" w:hAnsi="Arial" w:cs="Arial"/>
          <w:color w:val="auto"/>
          <w:lang w:eastAsia="en-GB"/>
        </w:rPr>
        <w:t xml:space="preserve">, in the form prescribed by the DHSC guidance. All operating costs have been derived from validated toolkit submissions, after applying the outlier exclusion rules described in </w:t>
      </w:r>
      <w:r w:rsidRPr="00512A55">
        <w:rPr>
          <w:rFonts w:ascii="Arial" w:hAnsi="Arial" w:cs="Arial"/>
          <w:color w:val="auto"/>
          <w:lang w:eastAsia="en-GB"/>
        </w:rPr>
        <w:t>Section 2.</w:t>
      </w:r>
      <w:r w:rsidR="00512A55" w:rsidRPr="00512A55">
        <w:rPr>
          <w:rFonts w:ascii="Arial" w:hAnsi="Arial" w:cs="Arial"/>
          <w:color w:val="auto"/>
          <w:lang w:eastAsia="en-GB"/>
        </w:rPr>
        <w:t>6</w:t>
      </w:r>
      <w:r w:rsidRPr="00512A55">
        <w:rPr>
          <w:rFonts w:ascii="Arial" w:hAnsi="Arial" w:cs="Arial"/>
          <w:color w:val="auto"/>
          <w:lang w:eastAsia="en-GB"/>
        </w:rPr>
        <w:t>.</w:t>
      </w:r>
      <w:r w:rsidRPr="00995855">
        <w:rPr>
          <w:rFonts w:ascii="Arial" w:hAnsi="Arial" w:cs="Arial"/>
          <w:color w:val="auto"/>
          <w:lang w:eastAsia="en-GB"/>
        </w:rPr>
        <w:t xml:space="preserve"> Return on capital and return on operations are based on the benchmarks set out in </w:t>
      </w:r>
      <w:r w:rsidRPr="00512A55">
        <w:rPr>
          <w:rFonts w:ascii="Arial" w:hAnsi="Arial" w:cs="Arial"/>
          <w:color w:val="auto"/>
          <w:lang w:eastAsia="en-GB"/>
        </w:rPr>
        <w:t>Section 2.</w:t>
      </w:r>
      <w:r w:rsidR="00512A55" w:rsidRPr="00512A55">
        <w:rPr>
          <w:rFonts w:ascii="Arial" w:hAnsi="Arial" w:cs="Arial"/>
          <w:color w:val="auto"/>
          <w:lang w:eastAsia="en-GB"/>
        </w:rPr>
        <w:t>9</w:t>
      </w:r>
      <w:r w:rsidRPr="00512A55">
        <w:rPr>
          <w:rFonts w:ascii="Arial" w:hAnsi="Arial" w:cs="Arial"/>
          <w:color w:val="auto"/>
          <w:lang w:eastAsia="en-GB"/>
        </w:rPr>
        <w:t>.</w:t>
      </w:r>
      <w:r w:rsidRPr="00995855">
        <w:rPr>
          <w:rFonts w:ascii="Arial" w:hAnsi="Arial" w:cs="Arial"/>
          <w:color w:val="auto"/>
          <w:lang w:eastAsia="en-GB"/>
        </w:rPr>
        <w:t xml:space="preserve"> </w:t>
      </w:r>
    </w:p>
    <w:p w14:paraId="3EEFC372" w14:textId="77777777" w:rsidR="00995855" w:rsidRPr="00995855" w:rsidRDefault="00995855" w:rsidP="00995855">
      <w:pPr>
        <w:spacing w:after="0" w:line="280" w:lineRule="exact"/>
        <w:jc w:val="both"/>
        <w:rPr>
          <w:rFonts w:ascii="Arial" w:hAnsi="Arial" w:cs="Arial"/>
          <w:color w:val="auto"/>
          <w:lang w:eastAsia="en-GB"/>
        </w:rPr>
      </w:pPr>
    </w:p>
    <w:p w14:paraId="7577734D" w14:textId="393DD6F0" w:rsidR="00A511ED" w:rsidRDefault="0084182A" w:rsidP="00995855">
      <w:pPr>
        <w:spacing w:after="0" w:line="280" w:lineRule="exact"/>
        <w:jc w:val="both"/>
        <w:rPr>
          <w:rFonts w:ascii="Arial" w:hAnsi="Arial" w:cs="Arial"/>
          <w:color w:val="auto"/>
          <w:lang w:eastAsia="en-GB"/>
        </w:rPr>
      </w:pPr>
      <w:r w:rsidRPr="00995855">
        <w:rPr>
          <w:rFonts w:ascii="Arial" w:hAnsi="Arial" w:cs="Arial"/>
          <w:color w:val="auto"/>
          <w:lang w:eastAsia="en-GB"/>
        </w:rPr>
        <w:t>Laing Buisson’s</w:t>
      </w:r>
      <w:r w:rsidR="00995855" w:rsidRPr="00995855">
        <w:rPr>
          <w:rFonts w:ascii="Arial" w:hAnsi="Arial" w:cs="Arial"/>
          <w:color w:val="auto"/>
          <w:lang w:eastAsia="en-GB"/>
        </w:rPr>
        <w:t xml:space="preserve"> </w:t>
      </w:r>
      <w:r w:rsidR="00F52A75">
        <w:rPr>
          <w:rFonts w:ascii="Arial" w:hAnsi="Arial" w:cs="Arial"/>
          <w:color w:val="auto"/>
          <w:lang w:eastAsia="en-GB"/>
        </w:rPr>
        <w:t xml:space="preserve">used their </w:t>
      </w:r>
      <w:r w:rsidR="00995855" w:rsidRPr="00995855">
        <w:rPr>
          <w:rFonts w:ascii="Arial" w:hAnsi="Arial" w:cs="Arial"/>
          <w:i/>
          <w:iCs/>
          <w:color w:val="auto"/>
          <w:lang w:eastAsia="en-GB"/>
        </w:rPr>
        <w:t>Care Cost Benchmarks</w:t>
      </w:r>
      <w:r w:rsidR="00995855" w:rsidRPr="00995855">
        <w:rPr>
          <w:rFonts w:ascii="Arial" w:hAnsi="Arial" w:cs="Arial"/>
          <w:color w:val="auto"/>
          <w:lang w:eastAsia="en-GB"/>
        </w:rPr>
        <w:t xml:space="preserve"> model as a broad check on the plausibility of the </w:t>
      </w:r>
      <w:r w:rsidR="00D17D29">
        <w:rPr>
          <w:rFonts w:ascii="Arial" w:hAnsi="Arial" w:cs="Arial"/>
          <w:color w:val="auto"/>
          <w:lang w:eastAsia="en-GB"/>
        </w:rPr>
        <w:t>C</w:t>
      </w:r>
      <w:r w:rsidR="0029380F">
        <w:rPr>
          <w:rFonts w:ascii="Arial" w:hAnsi="Arial" w:cs="Arial"/>
          <w:color w:val="auto"/>
          <w:lang w:eastAsia="en-GB"/>
        </w:rPr>
        <w:t>oC</w:t>
      </w:r>
      <w:r w:rsidR="00995855" w:rsidRPr="00995855">
        <w:rPr>
          <w:rFonts w:ascii="Arial" w:hAnsi="Arial" w:cs="Arial"/>
          <w:color w:val="auto"/>
          <w:lang w:eastAsia="en-GB"/>
        </w:rPr>
        <w:t xml:space="preserve"> results in Table 4. </w:t>
      </w:r>
      <w:r w:rsidR="006D1D8D">
        <w:rPr>
          <w:rFonts w:ascii="Arial" w:hAnsi="Arial" w:cs="Arial"/>
          <w:color w:val="auto"/>
          <w:lang w:eastAsia="en-GB"/>
        </w:rPr>
        <w:t>LaingBuisson</w:t>
      </w:r>
      <w:r w:rsidR="00995855" w:rsidRPr="00995855">
        <w:rPr>
          <w:rFonts w:ascii="Arial" w:hAnsi="Arial" w:cs="Arial"/>
          <w:color w:val="auto"/>
          <w:lang w:eastAsia="en-GB"/>
        </w:rPr>
        <w:t xml:space="preserve"> would expect (from </w:t>
      </w:r>
      <w:r w:rsidR="00995855" w:rsidRPr="00995855">
        <w:rPr>
          <w:rFonts w:ascii="Arial" w:hAnsi="Arial" w:cs="Arial"/>
          <w:i/>
          <w:iCs/>
          <w:color w:val="auto"/>
          <w:lang w:eastAsia="en-GB"/>
        </w:rPr>
        <w:t>Care Cost Benchmarks</w:t>
      </w:r>
      <w:r w:rsidR="00995855" w:rsidRPr="00995855">
        <w:rPr>
          <w:rFonts w:ascii="Arial" w:hAnsi="Arial" w:cs="Arial"/>
          <w:color w:val="auto"/>
          <w:lang w:eastAsia="en-GB"/>
        </w:rPr>
        <w:t>) nursing care costs to be about £250 per week higher than residential care costs - made up from registered nursing staff input at around the 2022/23 NHS FNC rate of £209, plus some additional non-nurse carer staff input.</w:t>
      </w:r>
      <w:r w:rsidR="00A511ED">
        <w:rPr>
          <w:rFonts w:ascii="Arial" w:hAnsi="Arial" w:cs="Arial"/>
          <w:color w:val="auto"/>
          <w:lang w:eastAsia="en-GB"/>
        </w:rPr>
        <w:t xml:space="preserve"> It should be noted that in Oxfordshire the median non-enhanced nursing care costs are £286 higher than the median non-enhanced residential care costs, see Table 4.</w:t>
      </w:r>
    </w:p>
    <w:p w14:paraId="4C138095" w14:textId="77777777" w:rsidR="00A511ED" w:rsidRDefault="00A511ED" w:rsidP="00995855">
      <w:pPr>
        <w:spacing w:after="0" w:line="280" w:lineRule="exact"/>
        <w:jc w:val="both"/>
        <w:rPr>
          <w:rFonts w:ascii="Arial" w:hAnsi="Arial" w:cs="Arial"/>
          <w:color w:val="auto"/>
          <w:lang w:eastAsia="en-GB"/>
        </w:rPr>
      </w:pPr>
    </w:p>
    <w:p w14:paraId="0F29AFE4" w14:textId="028F3C93" w:rsidR="00995855" w:rsidRPr="00995855" w:rsidRDefault="006D1D8D" w:rsidP="00995855">
      <w:pPr>
        <w:spacing w:after="0" w:line="280" w:lineRule="exact"/>
        <w:jc w:val="both"/>
        <w:rPr>
          <w:rFonts w:ascii="Arial" w:hAnsi="Arial" w:cs="Arial"/>
          <w:color w:val="auto"/>
          <w:lang w:eastAsia="en-GB"/>
        </w:rPr>
      </w:pPr>
      <w:r>
        <w:rPr>
          <w:rFonts w:ascii="Arial" w:hAnsi="Arial" w:cs="Arial"/>
          <w:color w:val="auto"/>
          <w:lang w:eastAsia="en-GB"/>
        </w:rPr>
        <w:t>LaingBuisson</w:t>
      </w:r>
      <w:r w:rsidR="00995855" w:rsidRPr="00995855">
        <w:rPr>
          <w:rFonts w:ascii="Arial" w:hAnsi="Arial" w:cs="Arial"/>
          <w:color w:val="auto"/>
          <w:lang w:eastAsia="en-GB"/>
        </w:rPr>
        <w:t xml:space="preserve"> would also expect (from </w:t>
      </w:r>
      <w:r w:rsidR="00995855" w:rsidRPr="00995855">
        <w:rPr>
          <w:rFonts w:ascii="Arial" w:hAnsi="Arial" w:cs="Arial"/>
          <w:i/>
          <w:iCs/>
          <w:color w:val="auto"/>
          <w:lang w:eastAsia="en-GB"/>
        </w:rPr>
        <w:t xml:space="preserve">Care Cost Benchmarks </w:t>
      </w:r>
      <w:r w:rsidR="00995855" w:rsidRPr="00995855">
        <w:rPr>
          <w:rFonts w:ascii="Arial" w:hAnsi="Arial" w:cs="Arial"/>
          <w:color w:val="auto"/>
          <w:lang w:eastAsia="en-GB"/>
        </w:rPr>
        <w:t xml:space="preserve">data set going back over a decade) a differential between ‘enhanced’ (i.e., dementia) and non-enhanced residential care, the former being more costly. But </w:t>
      </w:r>
      <w:r>
        <w:rPr>
          <w:rFonts w:ascii="Arial" w:hAnsi="Arial" w:cs="Arial"/>
          <w:color w:val="auto"/>
          <w:lang w:eastAsia="en-GB"/>
        </w:rPr>
        <w:t>LaingBuisson</w:t>
      </w:r>
      <w:r w:rsidR="00995855" w:rsidRPr="00995855">
        <w:rPr>
          <w:rFonts w:ascii="Arial" w:hAnsi="Arial" w:cs="Arial"/>
          <w:color w:val="auto"/>
          <w:lang w:eastAsia="en-GB"/>
        </w:rPr>
        <w:t xml:space="preserve"> would </w:t>
      </w:r>
      <w:r w:rsidR="00995855" w:rsidRPr="00995855">
        <w:rPr>
          <w:rFonts w:ascii="Arial" w:hAnsi="Arial" w:cs="Arial"/>
          <w:i/>
          <w:iCs/>
          <w:color w:val="auto"/>
          <w:lang w:eastAsia="en-GB"/>
        </w:rPr>
        <w:t>not</w:t>
      </w:r>
      <w:r w:rsidR="00995855" w:rsidRPr="00995855">
        <w:rPr>
          <w:rFonts w:ascii="Arial" w:hAnsi="Arial" w:cs="Arial"/>
          <w:color w:val="auto"/>
          <w:lang w:eastAsia="en-GB"/>
        </w:rPr>
        <w:t xml:space="preserve"> expect any differential between enhanced and non-enhanced nursing care. </w:t>
      </w:r>
    </w:p>
    <w:p w14:paraId="4D4D73ED" w14:textId="77777777" w:rsidR="00995855" w:rsidRPr="00995855" w:rsidRDefault="00995855" w:rsidP="00995855">
      <w:pPr>
        <w:spacing w:after="0" w:line="280" w:lineRule="exact"/>
        <w:jc w:val="both"/>
        <w:rPr>
          <w:rFonts w:ascii="Arial" w:hAnsi="Arial" w:cs="Arial"/>
          <w:color w:val="auto"/>
          <w:lang w:eastAsia="en-GB"/>
        </w:rPr>
      </w:pPr>
    </w:p>
    <w:p w14:paraId="2F652A7C" w14:textId="3C8193EE" w:rsidR="00995855" w:rsidRPr="00995855" w:rsidRDefault="00995855" w:rsidP="00995855">
      <w:pPr>
        <w:spacing w:after="0" w:line="280" w:lineRule="exact"/>
        <w:jc w:val="both"/>
        <w:rPr>
          <w:rFonts w:ascii="Arial" w:hAnsi="Arial" w:cs="Arial"/>
          <w:color w:val="auto"/>
          <w:lang w:eastAsia="en-GB"/>
        </w:rPr>
      </w:pPr>
      <w:bookmarkStart w:id="22" w:name="_Hlk116049847"/>
      <w:r w:rsidRPr="00995855">
        <w:rPr>
          <w:rFonts w:ascii="Arial" w:hAnsi="Arial" w:cs="Arial"/>
          <w:color w:val="auto"/>
          <w:lang w:eastAsia="en-GB"/>
        </w:rPr>
        <w:t xml:space="preserve">Any divergence from the expected pattern in the Table 4 median results may be a result of normal variance within small numbers of validated toolkits, see Section </w:t>
      </w:r>
      <w:r w:rsidRPr="005C1D9F">
        <w:rPr>
          <w:rFonts w:ascii="Arial" w:hAnsi="Arial" w:cs="Arial"/>
          <w:color w:val="auto"/>
          <w:lang w:eastAsia="en-GB"/>
        </w:rPr>
        <w:t>2.</w:t>
      </w:r>
      <w:r w:rsidR="005C1D9F" w:rsidRPr="005C1D9F">
        <w:rPr>
          <w:rFonts w:ascii="Arial" w:hAnsi="Arial" w:cs="Arial"/>
          <w:color w:val="auto"/>
          <w:lang w:eastAsia="en-GB"/>
        </w:rPr>
        <w:t>11.3</w:t>
      </w:r>
      <w:r w:rsidRPr="005C1D9F">
        <w:rPr>
          <w:rFonts w:ascii="Arial" w:hAnsi="Arial" w:cs="Arial"/>
          <w:color w:val="auto"/>
          <w:lang w:eastAsia="en-GB"/>
        </w:rPr>
        <w:t>.</w:t>
      </w:r>
    </w:p>
    <w:bookmarkEnd w:id="22"/>
    <w:p w14:paraId="571B934A" w14:textId="77777777" w:rsidR="00995855" w:rsidRPr="00995855" w:rsidRDefault="00995855" w:rsidP="00995855">
      <w:pPr>
        <w:spacing w:after="0" w:line="280" w:lineRule="exact"/>
        <w:jc w:val="both"/>
        <w:rPr>
          <w:rFonts w:ascii="Arial" w:hAnsi="Arial" w:cs="Arial"/>
          <w:color w:val="auto"/>
          <w:lang w:eastAsia="en-GB"/>
        </w:rPr>
      </w:pPr>
    </w:p>
    <w:p w14:paraId="57EE5938"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These results in Table 4 should be seen in the context of policy guidance from the Department of Health and Social Care. The latest DHSC guidance, dated 25 August 2022, recognises that ‘</w:t>
      </w:r>
      <w:r w:rsidRPr="00995855">
        <w:rPr>
          <w:rFonts w:ascii="Arial" w:hAnsi="Arial" w:cs="Arial"/>
          <w:i/>
          <w:iCs/>
          <w:color w:val="auto"/>
          <w:lang w:eastAsia="en-GB"/>
        </w:rPr>
        <w:t>median figures for the broad service types within scope (standard residential care, residential care for enhanced needs, standard nursing care and nursing care for enhanced needs)’ … ‘may oversimplify what is a complex picture of care and support needs.’</w:t>
      </w:r>
    </w:p>
    <w:p w14:paraId="6DE1A34A" w14:textId="77777777" w:rsidR="00995855" w:rsidRPr="00995855" w:rsidRDefault="00995855" w:rsidP="00995855">
      <w:pPr>
        <w:spacing w:after="0" w:line="280" w:lineRule="exact"/>
        <w:jc w:val="both"/>
        <w:rPr>
          <w:rFonts w:ascii="Arial" w:hAnsi="Arial" w:cs="Arial"/>
          <w:color w:val="auto"/>
          <w:lang w:eastAsia="en-GB"/>
        </w:rPr>
      </w:pPr>
    </w:p>
    <w:p w14:paraId="47F114ED" w14:textId="4D78FFCF" w:rsidR="00C5346A" w:rsidRDefault="00995855" w:rsidP="00995855">
      <w:pPr>
        <w:keepNext/>
        <w:suppressAutoHyphens/>
        <w:spacing w:after="0" w:line="260" w:lineRule="exact"/>
        <w:jc w:val="both"/>
        <w:rPr>
          <w:rFonts w:ascii="Arial" w:eastAsia="Times New Roman" w:hAnsi="Arial" w:cs="Arial"/>
          <w:bCs/>
          <w:sz w:val="20"/>
          <w:szCs w:val="20"/>
          <w:lang w:eastAsia="en-GB"/>
        </w:rPr>
      </w:pPr>
      <w:r w:rsidRPr="0013072B">
        <w:rPr>
          <w:rFonts w:ascii="Arial" w:eastAsia="Times New Roman" w:hAnsi="Arial" w:cs="Arial"/>
          <w:bCs/>
          <w:sz w:val="20"/>
          <w:szCs w:val="20"/>
          <w:lang w:eastAsia="en-GB"/>
        </w:rPr>
        <w:lastRenderedPageBreak/>
        <w:t>Table 4 Median costs of care homes (65+) located in Oxfordshire, £ per week at 2022/23 prices</w:t>
      </w:r>
      <w:r w:rsidR="00F52FBA" w:rsidRPr="0013072B">
        <w:rPr>
          <w:rFonts w:ascii="Arial" w:eastAsia="Times New Roman" w:hAnsi="Arial" w:cs="Arial"/>
          <w:bCs/>
          <w:sz w:val="20"/>
          <w:szCs w:val="20"/>
          <w:lang w:eastAsia="en-GB"/>
        </w:rPr>
        <w:t xml:space="preserve"> and the number of returns taken into account</w:t>
      </w:r>
      <w:r w:rsidR="00384202" w:rsidRPr="0013072B">
        <w:rPr>
          <w:rFonts w:ascii="Arial" w:eastAsia="Times New Roman" w:hAnsi="Arial" w:cs="Arial"/>
          <w:bCs/>
          <w:sz w:val="20"/>
          <w:szCs w:val="20"/>
          <w:lang w:eastAsia="en-GB"/>
        </w:rPr>
        <w:t>.</w:t>
      </w:r>
    </w:p>
    <w:p w14:paraId="35FA839D" w14:textId="77777777" w:rsidR="0091122E" w:rsidRPr="0013072B" w:rsidRDefault="0091122E" w:rsidP="00995855">
      <w:pPr>
        <w:keepNext/>
        <w:suppressAutoHyphens/>
        <w:spacing w:after="0" w:line="260" w:lineRule="exact"/>
        <w:jc w:val="both"/>
        <w:rPr>
          <w:rFonts w:ascii="Arial" w:eastAsia="Times New Roman" w:hAnsi="Arial" w:cs="Arial"/>
          <w:bCs/>
          <w:sz w:val="20"/>
          <w:szCs w:val="20"/>
          <w:lang w:eastAsia="en-GB"/>
        </w:rPr>
      </w:pPr>
    </w:p>
    <w:p w14:paraId="75E2C5CA" w14:textId="408BC7B3" w:rsidR="002D6E7B" w:rsidRPr="0091122E" w:rsidRDefault="0091122E" w:rsidP="00995855">
      <w:pPr>
        <w:keepNext/>
        <w:suppressAutoHyphens/>
        <w:spacing w:after="0" w:line="260" w:lineRule="exact"/>
        <w:jc w:val="both"/>
        <w:rPr>
          <w:rFonts w:ascii="Arial" w:eastAsia="Times New Roman" w:hAnsi="Arial" w:cs="Arial"/>
          <w:bCs/>
          <w:i/>
          <w:iCs/>
          <w:sz w:val="18"/>
          <w:szCs w:val="18"/>
          <w:lang w:eastAsia="en-GB"/>
        </w:rPr>
      </w:pPr>
      <w:r w:rsidRPr="0091122E">
        <w:rPr>
          <w:rFonts w:ascii="Arial" w:eastAsia="Times New Roman" w:hAnsi="Arial" w:cs="Arial"/>
          <w:i/>
          <w:iCs/>
          <w:color w:val="auto"/>
          <w:sz w:val="20"/>
          <w:szCs w:val="20"/>
          <w:lang w:eastAsia="en-GB"/>
        </w:rPr>
        <w:t>(The numbers in brackets represent the number of fully or partially validated toolkits from which the given cost line median was derived)</w:t>
      </w:r>
    </w:p>
    <w:tbl>
      <w:tblPr>
        <w:tblStyle w:val="TableGrid2"/>
        <w:tblW w:w="10485" w:type="dxa"/>
        <w:jc w:val="center"/>
        <w:tblLayout w:type="fixed"/>
        <w:tblLook w:val="04A0" w:firstRow="1" w:lastRow="0" w:firstColumn="1" w:lastColumn="0" w:noHBand="0" w:noVBand="1"/>
      </w:tblPr>
      <w:tblGrid>
        <w:gridCol w:w="2547"/>
        <w:gridCol w:w="2013"/>
        <w:gridCol w:w="1984"/>
        <w:gridCol w:w="1985"/>
        <w:gridCol w:w="1956"/>
      </w:tblGrid>
      <w:tr w:rsidR="002D6E7B" w:rsidRPr="003E2C00" w14:paraId="3153414A" w14:textId="77777777" w:rsidTr="0091122E">
        <w:trPr>
          <w:trHeight w:val="1080"/>
          <w:jc w:val="center"/>
        </w:trPr>
        <w:tc>
          <w:tcPr>
            <w:tcW w:w="2547" w:type="dxa"/>
            <w:shd w:val="clear" w:color="auto" w:fill="D9D9D9" w:themeFill="background1" w:themeFillShade="D9"/>
            <w:hideMark/>
          </w:tcPr>
          <w:p w14:paraId="630104B8"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Cost of Care exercise results - £ per resident per week</w:t>
            </w:r>
          </w:p>
        </w:tc>
        <w:tc>
          <w:tcPr>
            <w:tcW w:w="2013" w:type="dxa"/>
            <w:vAlign w:val="bottom"/>
            <w:hideMark/>
          </w:tcPr>
          <w:p w14:paraId="391EE8ED" w14:textId="2CE73879" w:rsidR="002D6E7B"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65+ care home places without nursing</w:t>
            </w:r>
          </w:p>
          <w:p w14:paraId="3D6E5200" w14:textId="77777777" w:rsidR="0091122E" w:rsidRDefault="0091122E" w:rsidP="00B10C48">
            <w:pPr>
              <w:suppressAutoHyphens/>
              <w:spacing w:after="0" w:line="240" w:lineRule="auto"/>
              <w:rPr>
                <w:rFonts w:ascii="Arial" w:eastAsia="Times New Roman" w:hAnsi="Arial" w:cs="Arial"/>
                <w:color w:val="auto"/>
                <w:sz w:val="20"/>
                <w:szCs w:val="20"/>
                <w:lang w:eastAsia="en-GB"/>
              </w:rPr>
            </w:pPr>
          </w:p>
          <w:p w14:paraId="3D9C29B0" w14:textId="77777777" w:rsidR="0091122E" w:rsidRPr="003E2C00" w:rsidRDefault="0091122E" w:rsidP="00B10C48">
            <w:pPr>
              <w:suppressAutoHyphens/>
              <w:spacing w:after="0" w:line="240" w:lineRule="auto"/>
              <w:rPr>
                <w:rFonts w:ascii="Arial" w:eastAsia="Times New Roman" w:hAnsi="Arial" w:cs="Arial"/>
                <w:color w:val="auto"/>
                <w:sz w:val="20"/>
                <w:szCs w:val="20"/>
                <w:lang w:eastAsia="en-GB"/>
              </w:rPr>
            </w:pPr>
          </w:p>
          <w:p w14:paraId="5D6F911A"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tc>
        <w:tc>
          <w:tcPr>
            <w:tcW w:w="1984" w:type="dxa"/>
            <w:vAlign w:val="bottom"/>
            <w:hideMark/>
          </w:tcPr>
          <w:p w14:paraId="1C1E847D" w14:textId="5110FB64" w:rsidR="002D6E7B"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65+ care home places without nursing, enhanced needs</w:t>
            </w:r>
          </w:p>
          <w:p w14:paraId="39F811E0"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p w14:paraId="7CD2928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tc>
        <w:tc>
          <w:tcPr>
            <w:tcW w:w="1985" w:type="dxa"/>
            <w:vAlign w:val="bottom"/>
            <w:hideMark/>
          </w:tcPr>
          <w:p w14:paraId="354BD17B" w14:textId="2439EFEE" w:rsidR="002D6E7B"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65+ care home places with nursing</w:t>
            </w:r>
          </w:p>
          <w:p w14:paraId="5DB64B9C" w14:textId="357F8AD2" w:rsidR="0091122E" w:rsidRDefault="0091122E" w:rsidP="00B10C48">
            <w:pPr>
              <w:suppressAutoHyphens/>
              <w:spacing w:after="0" w:line="240" w:lineRule="auto"/>
              <w:rPr>
                <w:rFonts w:ascii="Arial" w:eastAsia="Times New Roman" w:hAnsi="Arial" w:cs="Arial"/>
                <w:color w:val="auto"/>
                <w:sz w:val="20"/>
                <w:szCs w:val="20"/>
                <w:lang w:eastAsia="en-GB"/>
              </w:rPr>
            </w:pPr>
          </w:p>
          <w:p w14:paraId="78FD6A62" w14:textId="77777777" w:rsidR="0091122E" w:rsidRDefault="0091122E" w:rsidP="00B10C48">
            <w:pPr>
              <w:suppressAutoHyphens/>
              <w:spacing w:after="0" w:line="240" w:lineRule="auto"/>
              <w:rPr>
                <w:rFonts w:ascii="Arial" w:eastAsia="Times New Roman" w:hAnsi="Arial" w:cs="Arial"/>
                <w:color w:val="auto"/>
                <w:sz w:val="20"/>
                <w:szCs w:val="20"/>
                <w:lang w:eastAsia="en-GB"/>
              </w:rPr>
            </w:pPr>
          </w:p>
          <w:p w14:paraId="08BA077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p w14:paraId="63BC389D"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tc>
        <w:tc>
          <w:tcPr>
            <w:tcW w:w="1956" w:type="dxa"/>
            <w:vAlign w:val="bottom"/>
            <w:hideMark/>
          </w:tcPr>
          <w:p w14:paraId="46D4D29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65+ care home places with nursing, enhanced needs</w:t>
            </w:r>
          </w:p>
          <w:p w14:paraId="34A34D86"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p w14:paraId="77E1ED2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p>
        </w:tc>
      </w:tr>
      <w:tr w:rsidR="002D6E7B" w:rsidRPr="003E2C00" w14:paraId="5F678D9A" w14:textId="77777777" w:rsidTr="0091122E">
        <w:trPr>
          <w:trHeight w:val="411"/>
          <w:jc w:val="center"/>
        </w:trPr>
        <w:tc>
          <w:tcPr>
            <w:tcW w:w="2547" w:type="dxa"/>
            <w:shd w:val="clear" w:color="auto" w:fill="D9D9D9" w:themeFill="background1" w:themeFillShade="D9"/>
            <w:noWrap/>
            <w:hideMark/>
          </w:tcPr>
          <w:p w14:paraId="6E6E57D8"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Staffing</w:t>
            </w:r>
          </w:p>
        </w:tc>
        <w:tc>
          <w:tcPr>
            <w:tcW w:w="2013" w:type="dxa"/>
            <w:noWrap/>
          </w:tcPr>
          <w:p w14:paraId="1A2CE152"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665.50</w:t>
            </w:r>
          </w:p>
        </w:tc>
        <w:tc>
          <w:tcPr>
            <w:tcW w:w="1984" w:type="dxa"/>
            <w:noWrap/>
          </w:tcPr>
          <w:p w14:paraId="46CCD756"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729.20</w:t>
            </w:r>
          </w:p>
        </w:tc>
        <w:tc>
          <w:tcPr>
            <w:tcW w:w="1985" w:type="dxa"/>
            <w:noWrap/>
          </w:tcPr>
          <w:p w14:paraId="3B6DE232"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938.76</w:t>
            </w:r>
          </w:p>
        </w:tc>
        <w:tc>
          <w:tcPr>
            <w:tcW w:w="1956" w:type="dxa"/>
            <w:noWrap/>
          </w:tcPr>
          <w:p w14:paraId="018B7DD9"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957.78</w:t>
            </w:r>
          </w:p>
        </w:tc>
      </w:tr>
      <w:tr w:rsidR="002D6E7B" w:rsidRPr="003E2C00" w14:paraId="75DF27AA" w14:textId="77777777" w:rsidTr="0091122E">
        <w:trPr>
          <w:trHeight w:val="300"/>
          <w:jc w:val="center"/>
        </w:trPr>
        <w:tc>
          <w:tcPr>
            <w:tcW w:w="2547" w:type="dxa"/>
            <w:shd w:val="clear" w:color="auto" w:fill="D9D9D9" w:themeFill="background1" w:themeFillShade="D9"/>
            <w:noWrap/>
            <w:hideMark/>
          </w:tcPr>
          <w:p w14:paraId="22B0276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Nursing Staff</w:t>
            </w:r>
          </w:p>
        </w:tc>
        <w:tc>
          <w:tcPr>
            <w:tcW w:w="2013" w:type="dxa"/>
            <w:noWrap/>
          </w:tcPr>
          <w:p w14:paraId="5AE3C91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w:t>
            </w:r>
          </w:p>
        </w:tc>
        <w:tc>
          <w:tcPr>
            <w:tcW w:w="1984" w:type="dxa"/>
            <w:noWrap/>
          </w:tcPr>
          <w:p w14:paraId="6FA7810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w:t>
            </w:r>
          </w:p>
        </w:tc>
        <w:tc>
          <w:tcPr>
            <w:tcW w:w="1985" w:type="dxa"/>
            <w:noWrap/>
          </w:tcPr>
          <w:p w14:paraId="080DD06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 xml:space="preserve"> 264.84       (30)</w:t>
            </w:r>
          </w:p>
        </w:tc>
        <w:tc>
          <w:tcPr>
            <w:tcW w:w="1956" w:type="dxa"/>
            <w:noWrap/>
          </w:tcPr>
          <w:p w14:paraId="150181D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263.77  (13)</w:t>
            </w:r>
          </w:p>
        </w:tc>
      </w:tr>
      <w:tr w:rsidR="002D6E7B" w:rsidRPr="003E2C00" w14:paraId="47740A2C" w14:textId="77777777" w:rsidTr="0091122E">
        <w:trPr>
          <w:trHeight w:val="300"/>
          <w:jc w:val="center"/>
        </w:trPr>
        <w:tc>
          <w:tcPr>
            <w:tcW w:w="2547" w:type="dxa"/>
            <w:shd w:val="clear" w:color="auto" w:fill="D9D9D9" w:themeFill="background1" w:themeFillShade="D9"/>
            <w:noWrap/>
            <w:hideMark/>
          </w:tcPr>
          <w:p w14:paraId="0D0189B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Care Staff</w:t>
            </w:r>
          </w:p>
        </w:tc>
        <w:tc>
          <w:tcPr>
            <w:tcW w:w="2013" w:type="dxa"/>
            <w:noWrap/>
          </w:tcPr>
          <w:p w14:paraId="0F0BF23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414.67       (33)</w:t>
            </w:r>
          </w:p>
        </w:tc>
        <w:tc>
          <w:tcPr>
            <w:tcW w:w="1984" w:type="dxa"/>
            <w:noWrap/>
          </w:tcPr>
          <w:p w14:paraId="5856FFB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478.37       (25)</w:t>
            </w:r>
          </w:p>
        </w:tc>
        <w:tc>
          <w:tcPr>
            <w:tcW w:w="1985" w:type="dxa"/>
            <w:noWrap/>
          </w:tcPr>
          <w:p w14:paraId="1C9C047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423.09       (29)</w:t>
            </w:r>
          </w:p>
        </w:tc>
        <w:tc>
          <w:tcPr>
            <w:tcW w:w="1956" w:type="dxa"/>
            <w:noWrap/>
          </w:tcPr>
          <w:p w14:paraId="28650B6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443.18  (12)</w:t>
            </w:r>
          </w:p>
        </w:tc>
      </w:tr>
      <w:tr w:rsidR="002D6E7B" w:rsidRPr="003E2C00" w14:paraId="38DB466D" w14:textId="77777777" w:rsidTr="0091122E">
        <w:trPr>
          <w:trHeight w:val="300"/>
          <w:jc w:val="center"/>
        </w:trPr>
        <w:tc>
          <w:tcPr>
            <w:tcW w:w="2547" w:type="dxa"/>
            <w:shd w:val="clear" w:color="auto" w:fill="D9D9D9" w:themeFill="background1" w:themeFillShade="D9"/>
            <w:noWrap/>
            <w:hideMark/>
          </w:tcPr>
          <w:p w14:paraId="49B70EF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Therapy Staff</w:t>
            </w:r>
          </w:p>
        </w:tc>
        <w:tc>
          <w:tcPr>
            <w:tcW w:w="2013" w:type="dxa"/>
            <w:noWrap/>
          </w:tcPr>
          <w:p w14:paraId="0EC57FB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12.84        (4)</w:t>
            </w:r>
          </w:p>
        </w:tc>
        <w:tc>
          <w:tcPr>
            <w:tcW w:w="1984" w:type="dxa"/>
            <w:noWrap/>
          </w:tcPr>
          <w:p w14:paraId="49C201A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12.84        (4)</w:t>
            </w:r>
          </w:p>
        </w:tc>
        <w:tc>
          <w:tcPr>
            <w:tcW w:w="1985" w:type="dxa"/>
            <w:noWrap/>
          </w:tcPr>
          <w:p w14:paraId="32C6198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12.84        (4)</w:t>
            </w:r>
          </w:p>
        </w:tc>
        <w:tc>
          <w:tcPr>
            <w:tcW w:w="1956" w:type="dxa"/>
            <w:noWrap/>
          </w:tcPr>
          <w:p w14:paraId="74CEB3F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12.84  (4)</w:t>
            </w:r>
          </w:p>
        </w:tc>
      </w:tr>
      <w:tr w:rsidR="002D6E7B" w:rsidRPr="003E2C00" w14:paraId="5B0C46F2" w14:textId="77777777" w:rsidTr="0091122E">
        <w:trPr>
          <w:trHeight w:val="300"/>
          <w:jc w:val="center"/>
        </w:trPr>
        <w:tc>
          <w:tcPr>
            <w:tcW w:w="2547" w:type="dxa"/>
            <w:shd w:val="clear" w:color="auto" w:fill="D9D9D9" w:themeFill="background1" w:themeFillShade="D9"/>
            <w:noWrap/>
            <w:hideMark/>
          </w:tcPr>
          <w:p w14:paraId="4F299DE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Activity Coordinators</w:t>
            </w:r>
          </w:p>
        </w:tc>
        <w:tc>
          <w:tcPr>
            <w:tcW w:w="2013" w:type="dxa"/>
            <w:noWrap/>
          </w:tcPr>
          <w:p w14:paraId="0A9AE29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14.03        (36)</w:t>
            </w:r>
          </w:p>
        </w:tc>
        <w:tc>
          <w:tcPr>
            <w:tcW w:w="1984" w:type="dxa"/>
            <w:noWrap/>
          </w:tcPr>
          <w:p w14:paraId="72F3552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14.03        (36)</w:t>
            </w:r>
          </w:p>
        </w:tc>
        <w:tc>
          <w:tcPr>
            <w:tcW w:w="1985" w:type="dxa"/>
            <w:noWrap/>
          </w:tcPr>
          <w:p w14:paraId="7C16B00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14.03        (36)</w:t>
            </w:r>
          </w:p>
        </w:tc>
        <w:tc>
          <w:tcPr>
            <w:tcW w:w="1956" w:type="dxa"/>
            <w:noWrap/>
          </w:tcPr>
          <w:p w14:paraId="0D6AF38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14.03 (36)</w:t>
            </w:r>
          </w:p>
        </w:tc>
      </w:tr>
      <w:tr w:rsidR="002D6E7B" w:rsidRPr="003E2C00" w14:paraId="62D65498" w14:textId="77777777" w:rsidTr="0091122E">
        <w:trPr>
          <w:trHeight w:val="300"/>
          <w:jc w:val="center"/>
        </w:trPr>
        <w:tc>
          <w:tcPr>
            <w:tcW w:w="2547" w:type="dxa"/>
            <w:shd w:val="clear" w:color="auto" w:fill="D9D9D9" w:themeFill="background1" w:themeFillShade="D9"/>
            <w:noWrap/>
            <w:hideMark/>
          </w:tcPr>
          <w:p w14:paraId="010A9CC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Service Management</w:t>
            </w:r>
          </w:p>
        </w:tc>
        <w:tc>
          <w:tcPr>
            <w:tcW w:w="2013" w:type="dxa"/>
            <w:noWrap/>
          </w:tcPr>
          <w:p w14:paraId="0F2CBF6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48.44        (43)</w:t>
            </w:r>
          </w:p>
        </w:tc>
        <w:tc>
          <w:tcPr>
            <w:tcW w:w="1984" w:type="dxa"/>
            <w:noWrap/>
          </w:tcPr>
          <w:p w14:paraId="42B8A99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48.44        (43)</w:t>
            </w:r>
          </w:p>
        </w:tc>
        <w:tc>
          <w:tcPr>
            <w:tcW w:w="1985" w:type="dxa"/>
            <w:noWrap/>
          </w:tcPr>
          <w:p w14:paraId="414EE7E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48.44        (43)</w:t>
            </w:r>
          </w:p>
        </w:tc>
        <w:tc>
          <w:tcPr>
            <w:tcW w:w="1956" w:type="dxa"/>
            <w:noWrap/>
          </w:tcPr>
          <w:p w14:paraId="0B23433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48.44 (43)</w:t>
            </w:r>
          </w:p>
        </w:tc>
      </w:tr>
      <w:tr w:rsidR="002D6E7B" w:rsidRPr="003E2C00" w14:paraId="318CA4A4" w14:textId="77777777" w:rsidTr="0091122E">
        <w:trPr>
          <w:trHeight w:val="300"/>
          <w:jc w:val="center"/>
        </w:trPr>
        <w:tc>
          <w:tcPr>
            <w:tcW w:w="2547" w:type="dxa"/>
            <w:shd w:val="clear" w:color="auto" w:fill="D9D9D9" w:themeFill="background1" w:themeFillShade="D9"/>
            <w:noWrap/>
            <w:hideMark/>
          </w:tcPr>
          <w:p w14:paraId="53782D39"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Reception &amp; Admin</w:t>
            </w:r>
          </w:p>
        </w:tc>
        <w:tc>
          <w:tcPr>
            <w:tcW w:w="2013" w:type="dxa"/>
            <w:noWrap/>
          </w:tcPr>
          <w:p w14:paraId="446BD40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20.37        (40)</w:t>
            </w:r>
          </w:p>
        </w:tc>
        <w:tc>
          <w:tcPr>
            <w:tcW w:w="1984" w:type="dxa"/>
            <w:noWrap/>
          </w:tcPr>
          <w:p w14:paraId="77B1CEB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20.37        (40)</w:t>
            </w:r>
          </w:p>
        </w:tc>
        <w:tc>
          <w:tcPr>
            <w:tcW w:w="1985" w:type="dxa"/>
            <w:noWrap/>
          </w:tcPr>
          <w:p w14:paraId="7B54D2F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20.37        (40)</w:t>
            </w:r>
          </w:p>
        </w:tc>
        <w:tc>
          <w:tcPr>
            <w:tcW w:w="1956" w:type="dxa"/>
            <w:noWrap/>
          </w:tcPr>
          <w:p w14:paraId="002F4C3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20.37 (40)</w:t>
            </w:r>
          </w:p>
        </w:tc>
      </w:tr>
      <w:tr w:rsidR="002D6E7B" w:rsidRPr="003E2C00" w14:paraId="031E7F3C" w14:textId="77777777" w:rsidTr="0091122E">
        <w:trPr>
          <w:trHeight w:val="300"/>
          <w:jc w:val="center"/>
        </w:trPr>
        <w:tc>
          <w:tcPr>
            <w:tcW w:w="2547" w:type="dxa"/>
            <w:shd w:val="clear" w:color="auto" w:fill="D9D9D9" w:themeFill="background1" w:themeFillShade="D9"/>
            <w:noWrap/>
            <w:hideMark/>
          </w:tcPr>
          <w:p w14:paraId="7B94F14E"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Chefs / Cooks</w:t>
            </w:r>
          </w:p>
        </w:tc>
        <w:tc>
          <w:tcPr>
            <w:tcW w:w="2013" w:type="dxa"/>
            <w:noWrap/>
          </w:tcPr>
          <w:p w14:paraId="1BFA41B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34.51        (47)</w:t>
            </w:r>
          </w:p>
        </w:tc>
        <w:tc>
          <w:tcPr>
            <w:tcW w:w="1984" w:type="dxa"/>
            <w:noWrap/>
          </w:tcPr>
          <w:p w14:paraId="6AB8A1A3"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34.51        (47)</w:t>
            </w:r>
          </w:p>
        </w:tc>
        <w:tc>
          <w:tcPr>
            <w:tcW w:w="1985" w:type="dxa"/>
            <w:noWrap/>
          </w:tcPr>
          <w:p w14:paraId="481DC9F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34.51        (47)</w:t>
            </w:r>
          </w:p>
        </w:tc>
        <w:tc>
          <w:tcPr>
            <w:tcW w:w="1956" w:type="dxa"/>
            <w:noWrap/>
          </w:tcPr>
          <w:p w14:paraId="39DA348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34.51 (47)</w:t>
            </w:r>
          </w:p>
        </w:tc>
      </w:tr>
      <w:tr w:rsidR="002D6E7B" w:rsidRPr="003E2C00" w14:paraId="3A3BF982" w14:textId="77777777" w:rsidTr="0091122E">
        <w:trPr>
          <w:trHeight w:val="350"/>
          <w:jc w:val="center"/>
        </w:trPr>
        <w:tc>
          <w:tcPr>
            <w:tcW w:w="2547" w:type="dxa"/>
            <w:shd w:val="clear" w:color="auto" w:fill="D9D9D9" w:themeFill="background1" w:themeFillShade="D9"/>
            <w:noWrap/>
            <w:hideMark/>
          </w:tcPr>
          <w:p w14:paraId="4403BFE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Domestic Staff</w:t>
            </w:r>
          </w:p>
        </w:tc>
        <w:tc>
          <w:tcPr>
            <w:tcW w:w="2013" w:type="dxa"/>
            <w:noWrap/>
          </w:tcPr>
          <w:p w14:paraId="5EE5764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65.44        (44)</w:t>
            </w:r>
          </w:p>
        </w:tc>
        <w:tc>
          <w:tcPr>
            <w:tcW w:w="1984" w:type="dxa"/>
            <w:noWrap/>
          </w:tcPr>
          <w:p w14:paraId="23F77A9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65.44        (44)</w:t>
            </w:r>
          </w:p>
        </w:tc>
        <w:tc>
          <w:tcPr>
            <w:tcW w:w="1985" w:type="dxa"/>
            <w:noWrap/>
          </w:tcPr>
          <w:p w14:paraId="6826521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65.44        (44)</w:t>
            </w:r>
          </w:p>
        </w:tc>
        <w:tc>
          <w:tcPr>
            <w:tcW w:w="1956" w:type="dxa"/>
            <w:noWrap/>
          </w:tcPr>
          <w:p w14:paraId="2128EDEA"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65.44 (44)</w:t>
            </w:r>
          </w:p>
        </w:tc>
      </w:tr>
      <w:tr w:rsidR="002D6E7B" w:rsidRPr="003E2C00" w14:paraId="31600312" w14:textId="77777777" w:rsidTr="0091122E">
        <w:trPr>
          <w:trHeight w:val="350"/>
          <w:jc w:val="center"/>
        </w:trPr>
        <w:tc>
          <w:tcPr>
            <w:tcW w:w="2547" w:type="dxa"/>
            <w:shd w:val="clear" w:color="auto" w:fill="D9D9D9" w:themeFill="background1" w:themeFillShade="D9"/>
            <w:noWrap/>
            <w:hideMark/>
          </w:tcPr>
          <w:p w14:paraId="29DFBF5A"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Maintenance &amp; Gardening</w:t>
            </w:r>
          </w:p>
        </w:tc>
        <w:tc>
          <w:tcPr>
            <w:tcW w:w="2013" w:type="dxa"/>
            <w:noWrap/>
          </w:tcPr>
          <w:p w14:paraId="07BCB25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11.48        (34)</w:t>
            </w:r>
          </w:p>
        </w:tc>
        <w:tc>
          <w:tcPr>
            <w:tcW w:w="1984" w:type="dxa"/>
            <w:noWrap/>
          </w:tcPr>
          <w:p w14:paraId="6D129AD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11.48        (34)</w:t>
            </w:r>
          </w:p>
        </w:tc>
        <w:tc>
          <w:tcPr>
            <w:tcW w:w="1985" w:type="dxa"/>
            <w:noWrap/>
          </w:tcPr>
          <w:p w14:paraId="7DCBA8E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11.48        (34)</w:t>
            </w:r>
          </w:p>
        </w:tc>
        <w:tc>
          <w:tcPr>
            <w:tcW w:w="1956" w:type="dxa"/>
            <w:noWrap/>
          </w:tcPr>
          <w:p w14:paraId="091CCFE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11.48 (34)</w:t>
            </w:r>
          </w:p>
        </w:tc>
      </w:tr>
      <w:tr w:rsidR="002D6E7B" w:rsidRPr="003E2C00" w14:paraId="58637B84" w14:textId="77777777" w:rsidTr="0091122E">
        <w:trPr>
          <w:trHeight w:val="350"/>
          <w:jc w:val="center"/>
        </w:trPr>
        <w:tc>
          <w:tcPr>
            <w:tcW w:w="2547" w:type="dxa"/>
            <w:shd w:val="clear" w:color="auto" w:fill="D9D9D9" w:themeFill="background1" w:themeFillShade="D9"/>
            <w:noWrap/>
            <w:hideMark/>
          </w:tcPr>
          <w:p w14:paraId="4B62879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Other Care Home Staff</w:t>
            </w:r>
          </w:p>
        </w:tc>
        <w:tc>
          <w:tcPr>
            <w:tcW w:w="2013" w:type="dxa"/>
            <w:noWrap/>
          </w:tcPr>
          <w:p w14:paraId="1DF821E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43.72(15)</w:t>
            </w:r>
          </w:p>
        </w:tc>
        <w:tc>
          <w:tcPr>
            <w:tcW w:w="1984" w:type="dxa"/>
            <w:noWrap/>
          </w:tcPr>
          <w:p w14:paraId="5338FB9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43.72(15)</w:t>
            </w:r>
          </w:p>
        </w:tc>
        <w:tc>
          <w:tcPr>
            <w:tcW w:w="1985" w:type="dxa"/>
            <w:noWrap/>
          </w:tcPr>
          <w:p w14:paraId="4C18F94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43.72 (15)</w:t>
            </w:r>
          </w:p>
        </w:tc>
        <w:tc>
          <w:tcPr>
            <w:tcW w:w="1956" w:type="dxa"/>
            <w:noWrap/>
          </w:tcPr>
          <w:p w14:paraId="751F99F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43.72 (15)</w:t>
            </w:r>
          </w:p>
        </w:tc>
      </w:tr>
      <w:tr w:rsidR="002D6E7B" w:rsidRPr="003E2C00" w14:paraId="744447DD" w14:textId="77777777" w:rsidTr="0091122E">
        <w:trPr>
          <w:trHeight w:val="300"/>
          <w:jc w:val="center"/>
        </w:trPr>
        <w:tc>
          <w:tcPr>
            <w:tcW w:w="2547" w:type="dxa"/>
            <w:shd w:val="clear" w:color="auto" w:fill="D9D9D9" w:themeFill="background1" w:themeFillShade="D9"/>
            <w:noWrap/>
            <w:hideMark/>
          </w:tcPr>
          <w:p w14:paraId="7B86537C"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Care Home Premises</w:t>
            </w:r>
          </w:p>
        </w:tc>
        <w:tc>
          <w:tcPr>
            <w:tcW w:w="2013" w:type="dxa"/>
            <w:noWrap/>
          </w:tcPr>
          <w:p w14:paraId="6B3DC8C3"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41.16</w:t>
            </w:r>
          </w:p>
        </w:tc>
        <w:tc>
          <w:tcPr>
            <w:tcW w:w="1984" w:type="dxa"/>
            <w:noWrap/>
          </w:tcPr>
          <w:p w14:paraId="3C4BBF7A"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41.16</w:t>
            </w:r>
          </w:p>
        </w:tc>
        <w:tc>
          <w:tcPr>
            <w:tcW w:w="1985" w:type="dxa"/>
            <w:noWrap/>
          </w:tcPr>
          <w:p w14:paraId="40FD6EAE"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41.16</w:t>
            </w:r>
          </w:p>
        </w:tc>
        <w:tc>
          <w:tcPr>
            <w:tcW w:w="1956" w:type="dxa"/>
            <w:noWrap/>
          </w:tcPr>
          <w:p w14:paraId="558BEE5D"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41.16</w:t>
            </w:r>
          </w:p>
        </w:tc>
      </w:tr>
      <w:tr w:rsidR="002D6E7B" w:rsidRPr="003E2C00" w14:paraId="5CCC89F4" w14:textId="77777777" w:rsidTr="0091122E">
        <w:trPr>
          <w:trHeight w:val="300"/>
          <w:jc w:val="center"/>
        </w:trPr>
        <w:tc>
          <w:tcPr>
            <w:tcW w:w="2547" w:type="dxa"/>
            <w:shd w:val="clear" w:color="auto" w:fill="D9D9D9" w:themeFill="background1" w:themeFillShade="D9"/>
            <w:noWrap/>
            <w:hideMark/>
          </w:tcPr>
          <w:p w14:paraId="7A85E09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Fixtures &amp; Fittings</w:t>
            </w:r>
          </w:p>
        </w:tc>
        <w:tc>
          <w:tcPr>
            <w:tcW w:w="2013" w:type="dxa"/>
            <w:noWrap/>
          </w:tcPr>
          <w:p w14:paraId="7D05217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4.25(39)</w:t>
            </w:r>
          </w:p>
        </w:tc>
        <w:tc>
          <w:tcPr>
            <w:tcW w:w="1984" w:type="dxa"/>
            <w:noWrap/>
          </w:tcPr>
          <w:p w14:paraId="48E1F01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4.25 (39)</w:t>
            </w:r>
          </w:p>
        </w:tc>
        <w:tc>
          <w:tcPr>
            <w:tcW w:w="1985" w:type="dxa"/>
            <w:noWrap/>
          </w:tcPr>
          <w:p w14:paraId="1EC50AD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4.25        (39)</w:t>
            </w:r>
          </w:p>
        </w:tc>
        <w:tc>
          <w:tcPr>
            <w:tcW w:w="1956" w:type="dxa"/>
            <w:noWrap/>
          </w:tcPr>
          <w:p w14:paraId="083E659A"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4.25 (39)</w:t>
            </w:r>
          </w:p>
        </w:tc>
      </w:tr>
      <w:tr w:rsidR="002D6E7B" w:rsidRPr="003E2C00" w14:paraId="7EB62EEF" w14:textId="77777777" w:rsidTr="0091122E">
        <w:trPr>
          <w:trHeight w:val="300"/>
          <w:jc w:val="center"/>
        </w:trPr>
        <w:tc>
          <w:tcPr>
            <w:tcW w:w="2547" w:type="dxa"/>
            <w:shd w:val="clear" w:color="auto" w:fill="D9D9D9" w:themeFill="background1" w:themeFillShade="D9"/>
            <w:noWrap/>
            <w:hideMark/>
          </w:tcPr>
          <w:p w14:paraId="2DD53AA5"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Repairs and Maintenance</w:t>
            </w:r>
          </w:p>
        </w:tc>
        <w:tc>
          <w:tcPr>
            <w:tcW w:w="2013" w:type="dxa"/>
            <w:noWrap/>
          </w:tcPr>
          <w:p w14:paraId="6837A01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27.25 (38)</w:t>
            </w:r>
          </w:p>
        </w:tc>
        <w:tc>
          <w:tcPr>
            <w:tcW w:w="1984" w:type="dxa"/>
            <w:noWrap/>
          </w:tcPr>
          <w:p w14:paraId="3905452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27.25(38)</w:t>
            </w:r>
          </w:p>
        </w:tc>
        <w:tc>
          <w:tcPr>
            <w:tcW w:w="1985" w:type="dxa"/>
            <w:noWrap/>
          </w:tcPr>
          <w:p w14:paraId="1A3AEF3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27.25 (38)</w:t>
            </w:r>
          </w:p>
        </w:tc>
        <w:tc>
          <w:tcPr>
            <w:tcW w:w="1956" w:type="dxa"/>
            <w:noWrap/>
          </w:tcPr>
          <w:p w14:paraId="61F7E91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27.25(38)</w:t>
            </w:r>
          </w:p>
        </w:tc>
      </w:tr>
      <w:tr w:rsidR="002D6E7B" w:rsidRPr="003E2C00" w14:paraId="3E966424" w14:textId="77777777" w:rsidTr="0091122E">
        <w:trPr>
          <w:trHeight w:val="300"/>
          <w:jc w:val="center"/>
        </w:trPr>
        <w:tc>
          <w:tcPr>
            <w:tcW w:w="2547" w:type="dxa"/>
            <w:shd w:val="clear" w:color="auto" w:fill="D9D9D9" w:themeFill="background1" w:themeFillShade="D9"/>
            <w:noWrap/>
            <w:hideMark/>
          </w:tcPr>
          <w:p w14:paraId="2E337246"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Furniture, Furnishings and Equipment</w:t>
            </w:r>
          </w:p>
        </w:tc>
        <w:tc>
          <w:tcPr>
            <w:tcW w:w="2013" w:type="dxa"/>
            <w:noWrap/>
          </w:tcPr>
          <w:p w14:paraId="06B3AD3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4.1 (42)</w:t>
            </w:r>
          </w:p>
        </w:tc>
        <w:tc>
          <w:tcPr>
            <w:tcW w:w="1984" w:type="dxa"/>
            <w:noWrap/>
          </w:tcPr>
          <w:p w14:paraId="3607E86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4.1(42)</w:t>
            </w:r>
          </w:p>
        </w:tc>
        <w:tc>
          <w:tcPr>
            <w:tcW w:w="1985" w:type="dxa"/>
            <w:noWrap/>
          </w:tcPr>
          <w:p w14:paraId="686B625A"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4.1(42)</w:t>
            </w:r>
          </w:p>
        </w:tc>
        <w:tc>
          <w:tcPr>
            <w:tcW w:w="1956" w:type="dxa"/>
            <w:noWrap/>
          </w:tcPr>
          <w:p w14:paraId="7AA8F39A"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4.1(42)</w:t>
            </w:r>
          </w:p>
        </w:tc>
      </w:tr>
      <w:tr w:rsidR="002D6E7B" w:rsidRPr="003E2C00" w14:paraId="7DB58E49" w14:textId="77777777" w:rsidTr="0091122E">
        <w:trPr>
          <w:trHeight w:val="300"/>
          <w:jc w:val="center"/>
        </w:trPr>
        <w:tc>
          <w:tcPr>
            <w:tcW w:w="2547" w:type="dxa"/>
            <w:shd w:val="clear" w:color="auto" w:fill="D9D9D9" w:themeFill="background1" w:themeFillShade="D9"/>
            <w:noWrap/>
            <w:hideMark/>
          </w:tcPr>
          <w:p w14:paraId="2A8C8309"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Other Care Home Premise Costs</w:t>
            </w:r>
          </w:p>
        </w:tc>
        <w:tc>
          <w:tcPr>
            <w:tcW w:w="2013" w:type="dxa"/>
            <w:noWrap/>
          </w:tcPr>
          <w:p w14:paraId="6B8BAE7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5.56 (18)</w:t>
            </w:r>
          </w:p>
        </w:tc>
        <w:tc>
          <w:tcPr>
            <w:tcW w:w="1984" w:type="dxa"/>
            <w:noWrap/>
          </w:tcPr>
          <w:p w14:paraId="68B0B59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5.56 (18)</w:t>
            </w:r>
          </w:p>
        </w:tc>
        <w:tc>
          <w:tcPr>
            <w:tcW w:w="1985" w:type="dxa"/>
            <w:noWrap/>
          </w:tcPr>
          <w:p w14:paraId="5E32474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5.56 (18)</w:t>
            </w:r>
          </w:p>
        </w:tc>
        <w:tc>
          <w:tcPr>
            <w:tcW w:w="1956" w:type="dxa"/>
            <w:noWrap/>
          </w:tcPr>
          <w:p w14:paraId="49E5533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5.56 (18)</w:t>
            </w:r>
          </w:p>
        </w:tc>
      </w:tr>
      <w:tr w:rsidR="002D6E7B" w:rsidRPr="003E2C00" w14:paraId="530FED76" w14:textId="77777777" w:rsidTr="0091122E">
        <w:trPr>
          <w:trHeight w:val="300"/>
          <w:jc w:val="center"/>
        </w:trPr>
        <w:tc>
          <w:tcPr>
            <w:tcW w:w="2547" w:type="dxa"/>
            <w:shd w:val="clear" w:color="auto" w:fill="D9D9D9" w:themeFill="background1" w:themeFillShade="D9"/>
            <w:noWrap/>
            <w:hideMark/>
          </w:tcPr>
          <w:p w14:paraId="392080A7"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Care Home Supplies and Services</w:t>
            </w:r>
          </w:p>
        </w:tc>
        <w:tc>
          <w:tcPr>
            <w:tcW w:w="2013" w:type="dxa"/>
            <w:noWrap/>
          </w:tcPr>
          <w:p w14:paraId="2EF46381"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136.31</w:t>
            </w:r>
          </w:p>
        </w:tc>
        <w:tc>
          <w:tcPr>
            <w:tcW w:w="1984" w:type="dxa"/>
            <w:noWrap/>
          </w:tcPr>
          <w:p w14:paraId="709A27B9"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136.31</w:t>
            </w:r>
          </w:p>
        </w:tc>
        <w:tc>
          <w:tcPr>
            <w:tcW w:w="1985" w:type="dxa"/>
            <w:noWrap/>
          </w:tcPr>
          <w:p w14:paraId="64F2D892"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136.31</w:t>
            </w:r>
          </w:p>
        </w:tc>
        <w:tc>
          <w:tcPr>
            <w:tcW w:w="1956" w:type="dxa"/>
            <w:noWrap/>
          </w:tcPr>
          <w:p w14:paraId="536B3653"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136.31</w:t>
            </w:r>
          </w:p>
        </w:tc>
      </w:tr>
      <w:tr w:rsidR="002D6E7B" w:rsidRPr="003E2C00" w14:paraId="3CBFDB53" w14:textId="77777777" w:rsidTr="0091122E">
        <w:trPr>
          <w:trHeight w:val="300"/>
          <w:jc w:val="center"/>
        </w:trPr>
        <w:tc>
          <w:tcPr>
            <w:tcW w:w="2547" w:type="dxa"/>
            <w:shd w:val="clear" w:color="auto" w:fill="D9D9D9" w:themeFill="background1" w:themeFillShade="D9"/>
            <w:noWrap/>
            <w:hideMark/>
          </w:tcPr>
          <w:p w14:paraId="2515A382"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Food</w:t>
            </w:r>
          </w:p>
        </w:tc>
        <w:tc>
          <w:tcPr>
            <w:tcW w:w="2013" w:type="dxa"/>
            <w:noWrap/>
          </w:tcPr>
          <w:p w14:paraId="4A2E6B5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39.84        (45)</w:t>
            </w:r>
          </w:p>
        </w:tc>
        <w:tc>
          <w:tcPr>
            <w:tcW w:w="1984" w:type="dxa"/>
            <w:noWrap/>
          </w:tcPr>
          <w:p w14:paraId="71D8125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39.84        (45)</w:t>
            </w:r>
          </w:p>
        </w:tc>
        <w:tc>
          <w:tcPr>
            <w:tcW w:w="1985" w:type="dxa"/>
            <w:noWrap/>
          </w:tcPr>
          <w:p w14:paraId="0945510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39.84        (45)</w:t>
            </w:r>
          </w:p>
        </w:tc>
        <w:tc>
          <w:tcPr>
            <w:tcW w:w="1956" w:type="dxa"/>
            <w:noWrap/>
          </w:tcPr>
          <w:p w14:paraId="43415753"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39.84        (45)</w:t>
            </w:r>
          </w:p>
        </w:tc>
      </w:tr>
      <w:tr w:rsidR="002D6E7B" w:rsidRPr="003E2C00" w14:paraId="4D693AE3" w14:textId="77777777" w:rsidTr="0091122E">
        <w:trPr>
          <w:trHeight w:val="300"/>
          <w:jc w:val="center"/>
        </w:trPr>
        <w:tc>
          <w:tcPr>
            <w:tcW w:w="2547" w:type="dxa"/>
            <w:shd w:val="clear" w:color="auto" w:fill="D9D9D9" w:themeFill="background1" w:themeFillShade="D9"/>
            <w:noWrap/>
            <w:hideMark/>
          </w:tcPr>
          <w:p w14:paraId="274DE6A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Domestic &amp; Cleaning</w:t>
            </w:r>
          </w:p>
        </w:tc>
        <w:tc>
          <w:tcPr>
            <w:tcW w:w="2013" w:type="dxa"/>
            <w:noWrap/>
          </w:tcPr>
          <w:p w14:paraId="7295826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9.03        (37)</w:t>
            </w:r>
          </w:p>
        </w:tc>
        <w:tc>
          <w:tcPr>
            <w:tcW w:w="1984" w:type="dxa"/>
            <w:noWrap/>
          </w:tcPr>
          <w:p w14:paraId="6CB8BA6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9.03        (37)</w:t>
            </w:r>
          </w:p>
        </w:tc>
        <w:tc>
          <w:tcPr>
            <w:tcW w:w="1985" w:type="dxa"/>
            <w:noWrap/>
          </w:tcPr>
          <w:p w14:paraId="05D3ED8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9.03        (37)</w:t>
            </w:r>
          </w:p>
        </w:tc>
        <w:tc>
          <w:tcPr>
            <w:tcW w:w="1956" w:type="dxa"/>
            <w:noWrap/>
          </w:tcPr>
          <w:p w14:paraId="2E4CA52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9.03        (37)</w:t>
            </w:r>
          </w:p>
        </w:tc>
      </w:tr>
      <w:tr w:rsidR="002D6E7B" w:rsidRPr="003E2C00" w14:paraId="14D40C9A" w14:textId="77777777" w:rsidTr="0091122E">
        <w:trPr>
          <w:trHeight w:val="300"/>
          <w:jc w:val="center"/>
        </w:trPr>
        <w:tc>
          <w:tcPr>
            <w:tcW w:w="2547" w:type="dxa"/>
            <w:shd w:val="clear" w:color="auto" w:fill="D9D9D9" w:themeFill="background1" w:themeFillShade="D9"/>
            <w:noWrap/>
            <w:hideMark/>
          </w:tcPr>
          <w:p w14:paraId="5904EF4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Medical Supplies</w:t>
            </w:r>
          </w:p>
        </w:tc>
        <w:tc>
          <w:tcPr>
            <w:tcW w:w="2013" w:type="dxa"/>
            <w:noWrap/>
          </w:tcPr>
          <w:p w14:paraId="2D5B73D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7.08        (45)</w:t>
            </w:r>
          </w:p>
        </w:tc>
        <w:tc>
          <w:tcPr>
            <w:tcW w:w="1984" w:type="dxa"/>
            <w:noWrap/>
          </w:tcPr>
          <w:p w14:paraId="287705A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7.08        (45)</w:t>
            </w:r>
          </w:p>
        </w:tc>
        <w:tc>
          <w:tcPr>
            <w:tcW w:w="1985" w:type="dxa"/>
            <w:noWrap/>
          </w:tcPr>
          <w:p w14:paraId="79207A4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7.08        (45)</w:t>
            </w:r>
          </w:p>
        </w:tc>
        <w:tc>
          <w:tcPr>
            <w:tcW w:w="1956" w:type="dxa"/>
            <w:noWrap/>
          </w:tcPr>
          <w:p w14:paraId="6E00193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7.08        (45)</w:t>
            </w:r>
          </w:p>
        </w:tc>
      </w:tr>
      <w:tr w:rsidR="002D6E7B" w:rsidRPr="003E2C00" w14:paraId="459B893E" w14:textId="77777777" w:rsidTr="0091122E">
        <w:trPr>
          <w:trHeight w:val="300"/>
          <w:jc w:val="center"/>
        </w:trPr>
        <w:tc>
          <w:tcPr>
            <w:tcW w:w="2547" w:type="dxa"/>
            <w:shd w:val="clear" w:color="auto" w:fill="D9D9D9" w:themeFill="background1" w:themeFillShade="D9"/>
            <w:noWrap/>
            <w:hideMark/>
          </w:tcPr>
          <w:p w14:paraId="25F43DA6"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PPE</w:t>
            </w:r>
          </w:p>
        </w:tc>
        <w:tc>
          <w:tcPr>
            <w:tcW w:w="2013" w:type="dxa"/>
            <w:noWrap/>
          </w:tcPr>
          <w:p w14:paraId="25EDCAA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0.9        (24)</w:t>
            </w:r>
          </w:p>
        </w:tc>
        <w:tc>
          <w:tcPr>
            <w:tcW w:w="1984" w:type="dxa"/>
            <w:noWrap/>
          </w:tcPr>
          <w:p w14:paraId="2E83DE6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0.9        (24)</w:t>
            </w:r>
          </w:p>
        </w:tc>
        <w:tc>
          <w:tcPr>
            <w:tcW w:w="1985" w:type="dxa"/>
            <w:noWrap/>
          </w:tcPr>
          <w:p w14:paraId="13F7F3A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0.9        (24)</w:t>
            </w:r>
          </w:p>
        </w:tc>
        <w:tc>
          <w:tcPr>
            <w:tcW w:w="1956" w:type="dxa"/>
            <w:noWrap/>
          </w:tcPr>
          <w:p w14:paraId="2A4C210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0.9        (24)</w:t>
            </w:r>
          </w:p>
        </w:tc>
      </w:tr>
      <w:tr w:rsidR="002D6E7B" w:rsidRPr="003E2C00" w14:paraId="6D14CD2B" w14:textId="77777777" w:rsidTr="0091122E">
        <w:trPr>
          <w:trHeight w:val="300"/>
          <w:jc w:val="center"/>
        </w:trPr>
        <w:tc>
          <w:tcPr>
            <w:tcW w:w="2547" w:type="dxa"/>
            <w:shd w:val="clear" w:color="auto" w:fill="D9D9D9" w:themeFill="background1" w:themeFillShade="D9"/>
            <w:noWrap/>
            <w:hideMark/>
          </w:tcPr>
          <w:p w14:paraId="7AECF3D9"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Office Supplies</w:t>
            </w:r>
          </w:p>
        </w:tc>
        <w:tc>
          <w:tcPr>
            <w:tcW w:w="2013" w:type="dxa"/>
            <w:noWrap/>
          </w:tcPr>
          <w:p w14:paraId="6F53D45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2.83        (39)</w:t>
            </w:r>
          </w:p>
        </w:tc>
        <w:tc>
          <w:tcPr>
            <w:tcW w:w="1984" w:type="dxa"/>
            <w:noWrap/>
          </w:tcPr>
          <w:p w14:paraId="7E0658B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2.83        (39)</w:t>
            </w:r>
          </w:p>
        </w:tc>
        <w:tc>
          <w:tcPr>
            <w:tcW w:w="1985" w:type="dxa"/>
            <w:noWrap/>
          </w:tcPr>
          <w:p w14:paraId="54870E9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2.83        (39)</w:t>
            </w:r>
          </w:p>
        </w:tc>
        <w:tc>
          <w:tcPr>
            <w:tcW w:w="1956" w:type="dxa"/>
            <w:noWrap/>
          </w:tcPr>
          <w:p w14:paraId="5C48BA0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2.83        (39)</w:t>
            </w:r>
          </w:p>
        </w:tc>
      </w:tr>
      <w:tr w:rsidR="002D6E7B" w:rsidRPr="003E2C00" w14:paraId="560F2040" w14:textId="77777777" w:rsidTr="0091122E">
        <w:trPr>
          <w:trHeight w:val="300"/>
          <w:jc w:val="center"/>
        </w:trPr>
        <w:tc>
          <w:tcPr>
            <w:tcW w:w="2547" w:type="dxa"/>
            <w:shd w:val="clear" w:color="auto" w:fill="D9D9D9" w:themeFill="background1" w:themeFillShade="D9"/>
            <w:noWrap/>
            <w:hideMark/>
          </w:tcPr>
          <w:p w14:paraId="520FE0C8"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Insurance</w:t>
            </w:r>
          </w:p>
        </w:tc>
        <w:tc>
          <w:tcPr>
            <w:tcW w:w="2013" w:type="dxa"/>
            <w:noWrap/>
          </w:tcPr>
          <w:p w14:paraId="462F43B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9.93        (38)</w:t>
            </w:r>
          </w:p>
        </w:tc>
        <w:tc>
          <w:tcPr>
            <w:tcW w:w="1984" w:type="dxa"/>
            <w:noWrap/>
          </w:tcPr>
          <w:p w14:paraId="1E46261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9.93        (38)</w:t>
            </w:r>
          </w:p>
        </w:tc>
        <w:tc>
          <w:tcPr>
            <w:tcW w:w="1985" w:type="dxa"/>
            <w:noWrap/>
          </w:tcPr>
          <w:p w14:paraId="042F187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9.93        (38)</w:t>
            </w:r>
          </w:p>
        </w:tc>
        <w:tc>
          <w:tcPr>
            <w:tcW w:w="1956" w:type="dxa"/>
            <w:noWrap/>
          </w:tcPr>
          <w:p w14:paraId="1DC97EB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9.93        (38)</w:t>
            </w:r>
          </w:p>
        </w:tc>
      </w:tr>
      <w:tr w:rsidR="002D6E7B" w:rsidRPr="003E2C00" w14:paraId="6F778556" w14:textId="77777777" w:rsidTr="0091122E">
        <w:trPr>
          <w:trHeight w:val="300"/>
          <w:jc w:val="center"/>
        </w:trPr>
        <w:tc>
          <w:tcPr>
            <w:tcW w:w="2547" w:type="dxa"/>
            <w:shd w:val="clear" w:color="auto" w:fill="D9D9D9" w:themeFill="background1" w:themeFillShade="D9"/>
            <w:noWrap/>
            <w:hideMark/>
          </w:tcPr>
          <w:p w14:paraId="1D551510"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Registration Fees</w:t>
            </w:r>
          </w:p>
        </w:tc>
        <w:tc>
          <w:tcPr>
            <w:tcW w:w="2013" w:type="dxa"/>
            <w:noWrap/>
          </w:tcPr>
          <w:p w14:paraId="6415CA2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3.84        (33)</w:t>
            </w:r>
          </w:p>
        </w:tc>
        <w:tc>
          <w:tcPr>
            <w:tcW w:w="1984" w:type="dxa"/>
            <w:noWrap/>
          </w:tcPr>
          <w:p w14:paraId="32F9DF2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3.84        (33)</w:t>
            </w:r>
          </w:p>
        </w:tc>
        <w:tc>
          <w:tcPr>
            <w:tcW w:w="1985" w:type="dxa"/>
            <w:noWrap/>
          </w:tcPr>
          <w:p w14:paraId="36F223C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3.84        (33)</w:t>
            </w:r>
          </w:p>
        </w:tc>
        <w:tc>
          <w:tcPr>
            <w:tcW w:w="1956" w:type="dxa"/>
            <w:noWrap/>
          </w:tcPr>
          <w:p w14:paraId="02541A0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3.84        (33)</w:t>
            </w:r>
          </w:p>
        </w:tc>
      </w:tr>
      <w:tr w:rsidR="002D6E7B" w:rsidRPr="003E2C00" w14:paraId="7B5CA402" w14:textId="77777777" w:rsidTr="0091122E">
        <w:trPr>
          <w:trHeight w:val="300"/>
          <w:jc w:val="center"/>
        </w:trPr>
        <w:tc>
          <w:tcPr>
            <w:tcW w:w="2547" w:type="dxa"/>
            <w:shd w:val="clear" w:color="auto" w:fill="D9D9D9" w:themeFill="background1" w:themeFillShade="D9"/>
            <w:noWrap/>
            <w:hideMark/>
          </w:tcPr>
          <w:p w14:paraId="57432BAE"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Telephone &amp; Internet</w:t>
            </w:r>
          </w:p>
        </w:tc>
        <w:tc>
          <w:tcPr>
            <w:tcW w:w="2013" w:type="dxa"/>
            <w:noWrap/>
          </w:tcPr>
          <w:p w14:paraId="46EF914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1.13        (45)</w:t>
            </w:r>
          </w:p>
        </w:tc>
        <w:tc>
          <w:tcPr>
            <w:tcW w:w="1984" w:type="dxa"/>
            <w:noWrap/>
          </w:tcPr>
          <w:p w14:paraId="6FA5D75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1.13        (45)</w:t>
            </w:r>
          </w:p>
        </w:tc>
        <w:tc>
          <w:tcPr>
            <w:tcW w:w="1985" w:type="dxa"/>
            <w:noWrap/>
          </w:tcPr>
          <w:p w14:paraId="4843106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1.13        (45)</w:t>
            </w:r>
          </w:p>
        </w:tc>
        <w:tc>
          <w:tcPr>
            <w:tcW w:w="1956" w:type="dxa"/>
            <w:noWrap/>
          </w:tcPr>
          <w:p w14:paraId="4FDA0E1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1.13        (45)</w:t>
            </w:r>
          </w:p>
        </w:tc>
      </w:tr>
      <w:tr w:rsidR="002D6E7B" w:rsidRPr="003E2C00" w14:paraId="5346EDE4" w14:textId="77777777" w:rsidTr="0091122E">
        <w:trPr>
          <w:trHeight w:val="300"/>
          <w:jc w:val="center"/>
        </w:trPr>
        <w:tc>
          <w:tcPr>
            <w:tcW w:w="2547" w:type="dxa"/>
            <w:shd w:val="clear" w:color="auto" w:fill="D9D9D9" w:themeFill="background1" w:themeFillShade="D9"/>
            <w:noWrap/>
            <w:hideMark/>
          </w:tcPr>
          <w:p w14:paraId="2C0CDE62"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Council Tax / rates</w:t>
            </w:r>
          </w:p>
        </w:tc>
        <w:tc>
          <w:tcPr>
            <w:tcW w:w="2013" w:type="dxa"/>
            <w:noWrap/>
          </w:tcPr>
          <w:p w14:paraId="04BC209C"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1.18        (43)</w:t>
            </w:r>
          </w:p>
        </w:tc>
        <w:tc>
          <w:tcPr>
            <w:tcW w:w="1984" w:type="dxa"/>
            <w:noWrap/>
          </w:tcPr>
          <w:p w14:paraId="403BAD5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1.18        (43)</w:t>
            </w:r>
          </w:p>
        </w:tc>
        <w:tc>
          <w:tcPr>
            <w:tcW w:w="1985" w:type="dxa"/>
            <w:noWrap/>
          </w:tcPr>
          <w:p w14:paraId="4C75533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1.18        (43)</w:t>
            </w:r>
          </w:p>
        </w:tc>
        <w:tc>
          <w:tcPr>
            <w:tcW w:w="1956" w:type="dxa"/>
            <w:noWrap/>
          </w:tcPr>
          <w:p w14:paraId="4C0768A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1.18        (43)</w:t>
            </w:r>
          </w:p>
        </w:tc>
      </w:tr>
      <w:tr w:rsidR="002D6E7B" w:rsidRPr="003E2C00" w14:paraId="0F3C2BF9" w14:textId="77777777" w:rsidTr="0091122E">
        <w:trPr>
          <w:trHeight w:val="300"/>
          <w:jc w:val="center"/>
        </w:trPr>
        <w:tc>
          <w:tcPr>
            <w:tcW w:w="2547" w:type="dxa"/>
            <w:shd w:val="clear" w:color="auto" w:fill="D9D9D9" w:themeFill="background1" w:themeFillShade="D9"/>
            <w:noWrap/>
            <w:hideMark/>
          </w:tcPr>
          <w:p w14:paraId="63211D24"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Electricity, Gas &amp; Water</w:t>
            </w:r>
          </w:p>
        </w:tc>
        <w:tc>
          <w:tcPr>
            <w:tcW w:w="2013" w:type="dxa"/>
            <w:noWrap/>
          </w:tcPr>
          <w:p w14:paraId="0867DBB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31.3        (45)</w:t>
            </w:r>
          </w:p>
        </w:tc>
        <w:tc>
          <w:tcPr>
            <w:tcW w:w="1984" w:type="dxa"/>
            <w:noWrap/>
          </w:tcPr>
          <w:p w14:paraId="136431E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31.3        (45)</w:t>
            </w:r>
          </w:p>
        </w:tc>
        <w:tc>
          <w:tcPr>
            <w:tcW w:w="1985" w:type="dxa"/>
            <w:noWrap/>
          </w:tcPr>
          <w:p w14:paraId="05DB3686"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31.3        (45)</w:t>
            </w:r>
          </w:p>
        </w:tc>
        <w:tc>
          <w:tcPr>
            <w:tcW w:w="1956" w:type="dxa"/>
            <w:noWrap/>
          </w:tcPr>
          <w:p w14:paraId="45C770B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31.3        (45)</w:t>
            </w:r>
          </w:p>
        </w:tc>
      </w:tr>
      <w:tr w:rsidR="002D6E7B" w:rsidRPr="003E2C00" w14:paraId="6F7424D8" w14:textId="77777777" w:rsidTr="0091122E">
        <w:trPr>
          <w:trHeight w:val="300"/>
          <w:jc w:val="center"/>
        </w:trPr>
        <w:tc>
          <w:tcPr>
            <w:tcW w:w="2547" w:type="dxa"/>
            <w:shd w:val="clear" w:color="auto" w:fill="D9D9D9" w:themeFill="background1" w:themeFillShade="D9"/>
            <w:noWrap/>
            <w:hideMark/>
          </w:tcPr>
          <w:p w14:paraId="126F9CDE"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Trade and Clinical Waste</w:t>
            </w:r>
          </w:p>
        </w:tc>
        <w:tc>
          <w:tcPr>
            <w:tcW w:w="2013" w:type="dxa"/>
            <w:noWrap/>
          </w:tcPr>
          <w:p w14:paraId="5EE1A6F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        (36)</w:t>
            </w:r>
          </w:p>
        </w:tc>
        <w:tc>
          <w:tcPr>
            <w:tcW w:w="1984" w:type="dxa"/>
            <w:noWrap/>
          </w:tcPr>
          <w:p w14:paraId="11CF6C63"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        (36)</w:t>
            </w:r>
          </w:p>
        </w:tc>
        <w:tc>
          <w:tcPr>
            <w:tcW w:w="1985" w:type="dxa"/>
            <w:noWrap/>
          </w:tcPr>
          <w:p w14:paraId="5D7DC1D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        (36)</w:t>
            </w:r>
          </w:p>
        </w:tc>
        <w:tc>
          <w:tcPr>
            <w:tcW w:w="1956" w:type="dxa"/>
            <w:noWrap/>
          </w:tcPr>
          <w:p w14:paraId="3C8257E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        (36)</w:t>
            </w:r>
          </w:p>
        </w:tc>
      </w:tr>
      <w:tr w:rsidR="002D6E7B" w:rsidRPr="003E2C00" w14:paraId="1A993233" w14:textId="77777777" w:rsidTr="0091122E">
        <w:trPr>
          <w:trHeight w:val="300"/>
          <w:jc w:val="center"/>
        </w:trPr>
        <w:tc>
          <w:tcPr>
            <w:tcW w:w="2547" w:type="dxa"/>
            <w:shd w:val="clear" w:color="auto" w:fill="D9D9D9" w:themeFill="background1" w:themeFillShade="D9"/>
            <w:noWrap/>
            <w:hideMark/>
          </w:tcPr>
          <w:p w14:paraId="55B6551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Transport &amp; Activities</w:t>
            </w:r>
          </w:p>
        </w:tc>
        <w:tc>
          <w:tcPr>
            <w:tcW w:w="2013" w:type="dxa"/>
            <w:noWrap/>
          </w:tcPr>
          <w:p w14:paraId="4EEA953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2.21        (35)</w:t>
            </w:r>
          </w:p>
        </w:tc>
        <w:tc>
          <w:tcPr>
            <w:tcW w:w="1984" w:type="dxa"/>
            <w:noWrap/>
          </w:tcPr>
          <w:p w14:paraId="186C2F1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2.21        (35)</w:t>
            </w:r>
          </w:p>
        </w:tc>
        <w:tc>
          <w:tcPr>
            <w:tcW w:w="1985" w:type="dxa"/>
            <w:noWrap/>
          </w:tcPr>
          <w:p w14:paraId="095818D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2.21        (35)</w:t>
            </w:r>
          </w:p>
        </w:tc>
        <w:tc>
          <w:tcPr>
            <w:tcW w:w="1956" w:type="dxa"/>
            <w:noWrap/>
          </w:tcPr>
          <w:p w14:paraId="13BED25F"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2.21        (35)</w:t>
            </w:r>
          </w:p>
        </w:tc>
      </w:tr>
      <w:tr w:rsidR="002D6E7B" w:rsidRPr="003E2C00" w14:paraId="3E5B2E53" w14:textId="77777777" w:rsidTr="0091122E">
        <w:trPr>
          <w:trHeight w:val="300"/>
          <w:jc w:val="center"/>
        </w:trPr>
        <w:tc>
          <w:tcPr>
            <w:tcW w:w="2547" w:type="dxa"/>
            <w:shd w:val="clear" w:color="auto" w:fill="D9D9D9" w:themeFill="background1" w:themeFillShade="D9"/>
            <w:noWrap/>
            <w:hideMark/>
          </w:tcPr>
          <w:p w14:paraId="02277E09"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 xml:space="preserve">Other Care Home </w:t>
            </w:r>
          </w:p>
        </w:tc>
        <w:tc>
          <w:tcPr>
            <w:tcW w:w="2013" w:type="dxa"/>
            <w:noWrap/>
          </w:tcPr>
          <w:p w14:paraId="401AD8E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21.17        (45)</w:t>
            </w:r>
          </w:p>
        </w:tc>
        <w:tc>
          <w:tcPr>
            <w:tcW w:w="1984" w:type="dxa"/>
            <w:noWrap/>
          </w:tcPr>
          <w:p w14:paraId="60FF707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21.17        (45)</w:t>
            </w:r>
          </w:p>
        </w:tc>
        <w:tc>
          <w:tcPr>
            <w:tcW w:w="1985" w:type="dxa"/>
            <w:noWrap/>
          </w:tcPr>
          <w:p w14:paraId="428A09E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21.17        (45)</w:t>
            </w:r>
          </w:p>
        </w:tc>
        <w:tc>
          <w:tcPr>
            <w:tcW w:w="1956" w:type="dxa"/>
            <w:noWrap/>
          </w:tcPr>
          <w:p w14:paraId="44A9BA4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21.17        (45)</w:t>
            </w:r>
          </w:p>
        </w:tc>
      </w:tr>
      <w:tr w:rsidR="002D6E7B" w:rsidRPr="003E2C00" w14:paraId="0DF11E9E" w14:textId="77777777" w:rsidTr="0091122E">
        <w:trPr>
          <w:trHeight w:val="300"/>
          <w:jc w:val="center"/>
        </w:trPr>
        <w:tc>
          <w:tcPr>
            <w:tcW w:w="2547" w:type="dxa"/>
            <w:shd w:val="clear" w:color="auto" w:fill="D9D9D9" w:themeFill="background1" w:themeFillShade="D9"/>
            <w:noWrap/>
            <w:hideMark/>
          </w:tcPr>
          <w:p w14:paraId="4B0CF068"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Head Office</w:t>
            </w:r>
          </w:p>
        </w:tc>
        <w:tc>
          <w:tcPr>
            <w:tcW w:w="2013" w:type="dxa"/>
            <w:noWrap/>
          </w:tcPr>
          <w:p w14:paraId="4A6F9FD8"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91.02</w:t>
            </w:r>
          </w:p>
        </w:tc>
        <w:tc>
          <w:tcPr>
            <w:tcW w:w="1984" w:type="dxa"/>
            <w:noWrap/>
          </w:tcPr>
          <w:p w14:paraId="3754080C"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91.02</w:t>
            </w:r>
          </w:p>
        </w:tc>
        <w:tc>
          <w:tcPr>
            <w:tcW w:w="1985" w:type="dxa"/>
            <w:noWrap/>
          </w:tcPr>
          <w:p w14:paraId="2DC58163"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91.02</w:t>
            </w:r>
          </w:p>
        </w:tc>
        <w:tc>
          <w:tcPr>
            <w:tcW w:w="1956" w:type="dxa"/>
            <w:noWrap/>
          </w:tcPr>
          <w:p w14:paraId="0D018251"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91.02</w:t>
            </w:r>
          </w:p>
        </w:tc>
      </w:tr>
      <w:tr w:rsidR="002D6E7B" w:rsidRPr="003E2C00" w14:paraId="3DF1BB25" w14:textId="77777777" w:rsidTr="0091122E">
        <w:trPr>
          <w:trHeight w:val="300"/>
          <w:jc w:val="center"/>
        </w:trPr>
        <w:tc>
          <w:tcPr>
            <w:tcW w:w="2547" w:type="dxa"/>
            <w:shd w:val="clear" w:color="auto" w:fill="D9D9D9" w:themeFill="background1" w:themeFillShade="D9"/>
            <w:noWrap/>
            <w:hideMark/>
          </w:tcPr>
          <w:p w14:paraId="763047EC"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Central / Regional Management</w:t>
            </w:r>
          </w:p>
        </w:tc>
        <w:tc>
          <w:tcPr>
            <w:tcW w:w="2013" w:type="dxa"/>
            <w:noWrap/>
          </w:tcPr>
          <w:p w14:paraId="35440F3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58.79        (39)</w:t>
            </w:r>
          </w:p>
        </w:tc>
        <w:tc>
          <w:tcPr>
            <w:tcW w:w="1984" w:type="dxa"/>
            <w:noWrap/>
          </w:tcPr>
          <w:p w14:paraId="0F095D3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58.79        (39)</w:t>
            </w:r>
          </w:p>
        </w:tc>
        <w:tc>
          <w:tcPr>
            <w:tcW w:w="1985" w:type="dxa"/>
            <w:noWrap/>
          </w:tcPr>
          <w:p w14:paraId="754A00D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58.79        (39)</w:t>
            </w:r>
          </w:p>
        </w:tc>
        <w:tc>
          <w:tcPr>
            <w:tcW w:w="1956" w:type="dxa"/>
            <w:noWrap/>
          </w:tcPr>
          <w:p w14:paraId="330E12BD"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58.79        (39)</w:t>
            </w:r>
          </w:p>
        </w:tc>
      </w:tr>
      <w:tr w:rsidR="002D6E7B" w:rsidRPr="003E2C00" w14:paraId="3F88B486" w14:textId="77777777" w:rsidTr="0091122E">
        <w:trPr>
          <w:trHeight w:val="300"/>
          <w:jc w:val="center"/>
        </w:trPr>
        <w:tc>
          <w:tcPr>
            <w:tcW w:w="2547" w:type="dxa"/>
            <w:shd w:val="clear" w:color="auto" w:fill="D9D9D9" w:themeFill="background1" w:themeFillShade="D9"/>
            <w:noWrap/>
            <w:hideMark/>
          </w:tcPr>
          <w:p w14:paraId="7DA55626"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lastRenderedPageBreak/>
              <w:t>Support Services</w:t>
            </w:r>
          </w:p>
        </w:tc>
        <w:tc>
          <w:tcPr>
            <w:tcW w:w="2013" w:type="dxa"/>
            <w:noWrap/>
          </w:tcPr>
          <w:p w14:paraId="4AE6FC9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19.77        (44)</w:t>
            </w:r>
          </w:p>
        </w:tc>
        <w:tc>
          <w:tcPr>
            <w:tcW w:w="1984" w:type="dxa"/>
            <w:noWrap/>
          </w:tcPr>
          <w:p w14:paraId="1A7538C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19.77        (44)</w:t>
            </w:r>
          </w:p>
        </w:tc>
        <w:tc>
          <w:tcPr>
            <w:tcW w:w="1985" w:type="dxa"/>
            <w:noWrap/>
          </w:tcPr>
          <w:p w14:paraId="1E0ED5F3"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19.77        (44)</w:t>
            </w:r>
          </w:p>
        </w:tc>
        <w:tc>
          <w:tcPr>
            <w:tcW w:w="1956" w:type="dxa"/>
            <w:noWrap/>
          </w:tcPr>
          <w:p w14:paraId="3A328798"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19.77        (44)</w:t>
            </w:r>
          </w:p>
        </w:tc>
      </w:tr>
      <w:tr w:rsidR="002D6E7B" w:rsidRPr="003E2C00" w14:paraId="0CCAE177" w14:textId="77777777" w:rsidTr="0091122E">
        <w:trPr>
          <w:trHeight w:val="300"/>
          <w:jc w:val="center"/>
        </w:trPr>
        <w:tc>
          <w:tcPr>
            <w:tcW w:w="2547" w:type="dxa"/>
            <w:shd w:val="clear" w:color="auto" w:fill="D9D9D9" w:themeFill="background1" w:themeFillShade="D9"/>
            <w:noWrap/>
            <w:hideMark/>
          </w:tcPr>
          <w:p w14:paraId="7A825E81"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Recruitment, training &amp; vetting</w:t>
            </w:r>
          </w:p>
        </w:tc>
        <w:tc>
          <w:tcPr>
            <w:tcW w:w="2013" w:type="dxa"/>
            <w:noWrap/>
          </w:tcPr>
          <w:p w14:paraId="7670754B"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9.1        (35)</w:t>
            </w:r>
          </w:p>
        </w:tc>
        <w:tc>
          <w:tcPr>
            <w:tcW w:w="1984" w:type="dxa"/>
            <w:noWrap/>
          </w:tcPr>
          <w:p w14:paraId="5350B6F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9.1        (35)</w:t>
            </w:r>
          </w:p>
        </w:tc>
        <w:tc>
          <w:tcPr>
            <w:tcW w:w="1985" w:type="dxa"/>
            <w:noWrap/>
          </w:tcPr>
          <w:p w14:paraId="5A87A075"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9.1        (35)</w:t>
            </w:r>
          </w:p>
        </w:tc>
        <w:tc>
          <w:tcPr>
            <w:tcW w:w="1956" w:type="dxa"/>
            <w:noWrap/>
          </w:tcPr>
          <w:p w14:paraId="20237EF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9.1        (35)</w:t>
            </w:r>
          </w:p>
        </w:tc>
      </w:tr>
      <w:tr w:rsidR="002D6E7B" w:rsidRPr="003E2C00" w14:paraId="0451A117" w14:textId="77777777" w:rsidTr="0091122E">
        <w:trPr>
          <w:trHeight w:val="300"/>
          <w:jc w:val="center"/>
        </w:trPr>
        <w:tc>
          <w:tcPr>
            <w:tcW w:w="2547" w:type="dxa"/>
            <w:shd w:val="clear" w:color="auto" w:fill="D9D9D9" w:themeFill="background1" w:themeFillShade="D9"/>
            <w:noWrap/>
            <w:hideMark/>
          </w:tcPr>
          <w:p w14:paraId="5E383EE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Other head office costs</w:t>
            </w:r>
          </w:p>
        </w:tc>
        <w:tc>
          <w:tcPr>
            <w:tcW w:w="2013" w:type="dxa"/>
            <w:noWrap/>
          </w:tcPr>
          <w:p w14:paraId="2ED16E32"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3.36        (32)</w:t>
            </w:r>
          </w:p>
        </w:tc>
        <w:tc>
          <w:tcPr>
            <w:tcW w:w="1984" w:type="dxa"/>
            <w:noWrap/>
          </w:tcPr>
          <w:p w14:paraId="337D44F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3.36        (32)</w:t>
            </w:r>
          </w:p>
        </w:tc>
        <w:tc>
          <w:tcPr>
            <w:tcW w:w="1985" w:type="dxa"/>
            <w:noWrap/>
          </w:tcPr>
          <w:p w14:paraId="67CA7DAE"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3.36        (32)</w:t>
            </w:r>
          </w:p>
        </w:tc>
        <w:tc>
          <w:tcPr>
            <w:tcW w:w="1956" w:type="dxa"/>
            <w:noWrap/>
          </w:tcPr>
          <w:p w14:paraId="5E447BE3"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lang w:eastAsia="en-GB"/>
              </w:rPr>
            </w:pPr>
            <w:r w:rsidRPr="003E2C00">
              <w:rPr>
                <w:rFonts w:ascii="Arial" w:hAnsi="Arial" w:cs="Arial"/>
                <w:color w:val="auto"/>
                <w:sz w:val="20"/>
                <w:szCs w:val="20"/>
              </w:rPr>
              <w:t>3.36        (32)</w:t>
            </w:r>
          </w:p>
        </w:tc>
      </w:tr>
      <w:tr w:rsidR="002D6E7B" w:rsidRPr="003E2C00" w14:paraId="59855DCA" w14:textId="77777777" w:rsidTr="0091122E">
        <w:trPr>
          <w:trHeight w:val="300"/>
          <w:jc w:val="center"/>
        </w:trPr>
        <w:tc>
          <w:tcPr>
            <w:tcW w:w="2547" w:type="dxa"/>
            <w:shd w:val="clear" w:color="auto" w:fill="D9D9D9" w:themeFill="background1" w:themeFillShade="D9"/>
            <w:noWrap/>
            <w:hideMark/>
          </w:tcPr>
          <w:p w14:paraId="4A9D98DE"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Sub-total Operating Costs</w:t>
            </w:r>
          </w:p>
        </w:tc>
        <w:tc>
          <w:tcPr>
            <w:tcW w:w="2013" w:type="dxa"/>
            <w:noWrap/>
          </w:tcPr>
          <w:p w14:paraId="1AFE4841"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933.99</w:t>
            </w:r>
          </w:p>
        </w:tc>
        <w:tc>
          <w:tcPr>
            <w:tcW w:w="1984" w:type="dxa"/>
            <w:noWrap/>
          </w:tcPr>
          <w:p w14:paraId="2826A3A8"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997.69</w:t>
            </w:r>
          </w:p>
        </w:tc>
        <w:tc>
          <w:tcPr>
            <w:tcW w:w="1985" w:type="dxa"/>
            <w:noWrap/>
          </w:tcPr>
          <w:p w14:paraId="6D6126CA"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1,207.25</w:t>
            </w:r>
          </w:p>
        </w:tc>
        <w:tc>
          <w:tcPr>
            <w:tcW w:w="1956" w:type="dxa"/>
            <w:noWrap/>
          </w:tcPr>
          <w:p w14:paraId="431A0D84"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1,226.27</w:t>
            </w:r>
          </w:p>
        </w:tc>
      </w:tr>
      <w:tr w:rsidR="002D6E7B" w:rsidRPr="003E2C00" w14:paraId="7511A4BF" w14:textId="77777777" w:rsidTr="0091122E">
        <w:trPr>
          <w:trHeight w:val="350"/>
          <w:jc w:val="center"/>
        </w:trPr>
        <w:tc>
          <w:tcPr>
            <w:tcW w:w="2547" w:type="dxa"/>
            <w:shd w:val="clear" w:color="auto" w:fill="D9D9D9" w:themeFill="background1" w:themeFillShade="D9"/>
            <w:noWrap/>
            <w:hideMark/>
          </w:tcPr>
          <w:p w14:paraId="6C6BEA3E"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Return on Operations</w:t>
            </w:r>
          </w:p>
        </w:tc>
        <w:tc>
          <w:tcPr>
            <w:tcW w:w="2013" w:type="dxa"/>
            <w:noWrap/>
          </w:tcPr>
          <w:p w14:paraId="030640E4"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auto"/>
                <w:sz w:val="20"/>
                <w:szCs w:val="20"/>
              </w:rPr>
              <w:t>46.70</w:t>
            </w:r>
          </w:p>
        </w:tc>
        <w:tc>
          <w:tcPr>
            <w:tcW w:w="1984" w:type="dxa"/>
            <w:noWrap/>
          </w:tcPr>
          <w:p w14:paraId="21F421C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auto"/>
                <w:sz w:val="20"/>
                <w:szCs w:val="20"/>
              </w:rPr>
              <w:t>49.88</w:t>
            </w:r>
          </w:p>
        </w:tc>
        <w:tc>
          <w:tcPr>
            <w:tcW w:w="1985" w:type="dxa"/>
            <w:noWrap/>
          </w:tcPr>
          <w:p w14:paraId="2DBFA21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auto"/>
                <w:sz w:val="20"/>
                <w:szCs w:val="20"/>
              </w:rPr>
              <w:t>60.36</w:t>
            </w:r>
          </w:p>
        </w:tc>
        <w:tc>
          <w:tcPr>
            <w:tcW w:w="1956" w:type="dxa"/>
            <w:noWrap/>
          </w:tcPr>
          <w:p w14:paraId="2BB90C1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auto"/>
                <w:sz w:val="20"/>
                <w:szCs w:val="20"/>
              </w:rPr>
              <w:t>61.31</w:t>
            </w:r>
          </w:p>
        </w:tc>
      </w:tr>
      <w:tr w:rsidR="002D6E7B" w:rsidRPr="003E2C00" w14:paraId="6C0161F4" w14:textId="77777777" w:rsidTr="0091122E">
        <w:trPr>
          <w:trHeight w:val="350"/>
          <w:jc w:val="center"/>
        </w:trPr>
        <w:tc>
          <w:tcPr>
            <w:tcW w:w="2547" w:type="dxa"/>
            <w:shd w:val="clear" w:color="auto" w:fill="D9D9D9" w:themeFill="background1" w:themeFillShade="D9"/>
            <w:noWrap/>
            <w:hideMark/>
          </w:tcPr>
          <w:p w14:paraId="40EA1DC9"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Return on Capital</w:t>
            </w:r>
          </w:p>
        </w:tc>
        <w:tc>
          <w:tcPr>
            <w:tcW w:w="2013" w:type="dxa"/>
            <w:noWrap/>
            <w:vAlign w:val="bottom"/>
          </w:tcPr>
          <w:p w14:paraId="70857F29"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000000"/>
                <w:sz w:val="20"/>
                <w:szCs w:val="20"/>
              </w:rPr>
              <w:t>140.38</w:t>
            </w:r>
          </w:p>
        </w:tc>
        <w:tc>
          <w:tcPr>
            <w:tcW w:w="1984" w:type="dxa"/>
            <w:noWrap/>
            <w:vAlign w:val="bottom"/>
          </w:tcPr>
          <w:p w14:paraId="4C6C2B40"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000000"/>
                <w:sz w:val="20"/>
                <w:szCs w:val="20"/>
              </w:rPr>
              <w:t>140.38</w:t>
            </w:r>
          </w:p>
        </w:tc>
        <w:tc>
          <w:tcPr>
            <w:tcW w:w="1985" w:type="dxa"/>
            <w:noWrap/>
            <w:vAlign w:val="bottom"/>
          </w:tcPr>
          <w:p w14:paraId="6CC40AB1"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000000"/>
                <w:sz w:val="20"/>
                <w:szCs w:val="20"/>
              </w:rPr>
              <w:t>140.38</w:t>
            </w:r>
          </w:p>
        </w:tc>
        <w:tc>
          <w:tcPr>
            <w:tcW w:w="1956" w:type="dxa"/>
            <w:noWrap/>
            <w:vAlign w:val="bottom"/>
          </w:tcPr>
          <w:p w14:paraId="37DB1D57" w14:textId="77777777" w:rsidR="002D6E7B" w:rsidRPr="003E2C00" w:rsidRDefault="002D6E7B" w:rsidP="00B10C48">
            <w:pPr>
              <w:suppressAutoHyphens/>
              <w:spacing w:after="0" w:line="240" w:lineRule="auto"/>
              <w:jc w:val="center"/>
              <w:rPr>
                <w:rFonts w:ascii="Arial" w:eastAsia="Times New Roman" w:hAnsi="Arial" w:cs="Arial"/>
                <w:color w:val="auto"/>
                <w:sz w:val="20"/>
                <w:szCs w:val="20"/>
                <w:highlight w:val="green"/>
                <w:lang w:eastAsia="en-GB"/>
              </w:rPr>
            </w:pPr>
            <w:r w:rsidRPr="003E2C00">
              <w:rPr>
                <w:rFonts w:ascii="Arial" w:hAnsi="Arial" w:cs="Arial"/>
                <w:color w:val="000000"/>
                <w:sz w:val="20"/>
                <w:szCs w:val="20"/>
              </w:rPr>
              <w:t>140.38</w:t>
            </w:r>
          </w:p>
        </w:tc>
      </w:tr>
      <w:tr w:rsidR="002D6E7B" w:rsidRPr="003E2C00" w14:paraId="4D38B85D" w14:textId="77777777" w:rsidTr="0091122E">
        <w:trPr>
          <w:trHeight w:val="350"/>
          <w:jc w:val="center"/>
        </w:trPr>
        <w:tc>
          <w:tcPr>
            <w:tcW w:w="2547" w:type="dxa"/>
            <w:shd w:val="clear" w:color="auto" w:fill="D9D9D9" w:themeFill="background1" w:themeFillShade="D9"/>
            <w:noWrap/>
            <w:hideMark/>
          </w:tcPr>
          <w:p w14:paraId="0C17B532"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Total</w:t>
            </w:r>
          </w:p>
        </w:tc>
        <w:tc>
          <w:tcPr>
            <w:tcW w:w="2013" w:type="dxa"/>
            <w:noWrap/>
            <w:vAlign w:val="bottom"/>
          </w:tcPr>
          <w:p w14:paraId="048EF3D8"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highlight w:val="green"/>
                <w:lang w:eastAsia="en-GB"/>
              </w:rPr>
            </w:pPr>
            <w:r w:rsidRPr="003E2C00">
              <w:rPr>
                <w:rFonts w:ascii="Arial" w:hAnsi="Arial" w:cs="Arial"/>
                <w:b/>
                <w:bCs/>
                <w:color w:val="000000"/>
                <w:sz w:val="20"/>
                <w:szCs w:val="20"/>
              </w:rPr>
              <w:t>1,121.07</w:t>
            </w:r>
          </w:p>
        </w:tc>
        <w:tc>
          <w:tcPr>
            <w:tcW w:w="1984" w:type="dxa"/>
            <w:noWrap/>
            <w:vAlign w:val="bottom"/>
          </w:tcPr>
          <w:p w14:paraId="7B2D4D2D"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highlight w:val="green"/>
                <w:lang w:eastAsia="en-GB"/>
              </w:rPr>
            </w:pPr>
            <w:r w:rsidRPr="003E2C00">
              <w:rPr>
                <w:rFonts w:ascii="Arial" w:hAnsi="Arial" w:cs="Arial"/>
                <w:b/>
                <w:bCs/>
                <w:color w:val="000000"/>
                <w:sz w:val="20"/>
                <w:szCs w:val="20"/>
              </w:rPr>
              <w:t>1,187.96</w:t>
            </w:r>
          </w:p>
        </w:tc>
        <w:tc>
          <w:tcPr>
            <w:tcW w:w="1985" w:type="dxa"/>
            <w:noWrap/>
            <w:vAlign w:val="bottom"/>
          </w:tcPr>
          <w:p w14:paraId="13F6C1E5"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highlight w:val="green"/>
                <w:lang w:eastAsia="en-GB"/>
              </w:rPr>
            </w:pPr>
            <w:r w:rsidRPr="003E2C00">
              <w:rPr>
                <w:rFonts w:ascii="Arial" w:hAnsi="Arial" w:cs="Arial"/>
                <w:b/>
                <w:bCs/>
                <w:color w:val="000000"/>
                <w:sz w:val="20"/>
                <w:szCs w:val="20"/>
              </w:rPr>
              <w:t>1,408.00</w:t>
            </w:r>
          </w:p>
        </w:tc>
        <w:tc>
          <w:tcPr>
            <w:tcW w:w="1956" w:type="dxa"/>
            <w:noWrap/>
            <w:vAlign w:val="bottom"/>
          </w:tcPr>
          <w:p w14:paraId="7C791C1E"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highlight w:val="green"/>
                <w:lang w:eastAsia="en-GB"/>
              </w:rPr>
            </w:pPr>
            <w:r w:rsidRPr="003E2C00">
              <w:rPr>
                <w:rFonts w:ascii="Arial" w:hAnsi="Arial" w:cs="Arial"/>
                <w:b/>
                <w:bCs/>
                <w:color w:val="000000"/>
                <w:sz w:val="20"/>
                <w:szCs w:val="20"/>
              </w:rPr>
              <w:t>1,427.97</w:t>
            </w:r>
          </w:p>
        </w:tc>
      </w:tr>
      <w:tr w:rsidR="002D6E7B" w:rsidRPr="003E2C00" w14:paraId="773BB932" w14:textId="77777777" w:rsidTr="0091122E">
        <w:trPr>
          <w:trHeight w:val="350"/>
          <w:jc w:val="center"/>
        </w:trPr>
        <w:tc>
          <w:tcPr>
            <w:tcW w:w="2547" w:type="dxa"/>
            <w:shd w:val="clear" w:color="auto" w:fill="D9D9D9" w:themeFill="background1" w:themeFillShade="D9"/>
            <w:noWrap/>
            <w:vAlign w:val="center"/>
          </w:tcPr>
          <w:p w14:paraId="14059F3B"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b/>
                <w:bCs/>
                <w:color w:val="auto"/>
                <w:sz w:val="20"/>
                <w:szCs w:val="20"/>
                <w:lang w:eastAsia="en-GB"/>
              </w:rPr>
              <w:t>Supporting information on important cost drivers used in the calculations:</w:t>
            </w:r>
          </w:p>
        </w:tc>
        <w:tc>
          <w:tcPr>
            <w:tcW w:w="2013" w:type="dxa"/>
            <w:noWrap/>
            <w:vAlign w:val="center"/>
          </w:tcPr>
          <w:p w14:paraId="36BA4CF0"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hAnsi="Arial" w:cs="Arial"/>
                <w:color w:val="auto"/>
                <w:sz w:val="20"/>
                <w:szCs w:val="20"/>
              </w:rPr>
              <w:t>65+ care home places without nursing</w:t>
            </w:r>
          </w:p>
        </w:tc>
        <w:tc>
          <w:tcPr>
            <w:tcW w:w="1984" w:type="dxa"/>
            <w:noWrap/>
            <w:vAlign w:val="center"/>
          </w:tcPr>
          <w:p w14:paraId="24265700"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hAnsi="Arial" w:cs="Arial"/>
                <w:color w:val="auto"/>
                <w:sz w:val="20"/>
                <w:szCs w:val="20"/>
              </w:rPr>
              <w:t>65+ care home places without nursing, enhanced needs</w:t>
            </w:r>
          </w:p>
        </w:tc>
        <w:tc>
          <w:tcPr>
            <w:tcW w:w="1985" w:type="dxa"/>
            <w:noWrap/>
            <w:vAlign w:val="center"/>
          </w:tcPr>
          <w:p w14:paraId="6DE45D3C"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hAnsi="Arial" w:cs="Arial"/>
                <w:color w:val="auto"/>
                <w:sz w:val="20"/>
                <w:szCs w:val="20"/>
              </w:rPr>
              <w:t>65+ care home places with nursing</w:t>
            </w:r>
          </w:p>
        </w:tc>
        <w:tc>
          <w:tcPr>
            <w:tcW w:w="1956" w:type="dxa"/>
            <w:noWrap/>
            <w:vAlign w:val="center"/>
          </w:tcPr>
          <w:p w14:paraId="6CD9B683"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hAnsi="Arial" w:cs="Arial"/>
                <w:color w:val="auto"/>
                <w:sz w:val="20"/>
                <w:szCs w:val="20"/>
              </w:rPr>
              <w:t>65+ care home places with nursing, enhanced needs</w:t>
            </w:r>
          </w:p>
        </w:tc>
      </w:tr>
      <w:tr w:rsidR="002D6E7B" w:rsidRPr="003E2C00" w14:paraId="44D9BFC1" w14:textId="77777777" w:rsidTr="0091122E">
        <w:trPr>
          <w:trHeight w:val="350"/>
          <w:jc w:val="center"/>
        </w:trPr>
        <w:tc>
          <w:tcPr>
            <w:tcW w:w="2547" w:type="dxa"/>
            <w:shd w:val="clear" w:color="auto" w:fill="D9D9D9" w:themeFill="background1" w:themeFillShade="D9"/>
            <w:noWrap/>
            <w:vAlign w:val="center"/>
          </w:tcPr>
          <w:p w14:paraId="493CABE0" w14:textId="77777777" w:rsidR="002D6E7B" w:rsidRPr="003E2C00" w:rsidRDefault="002D6E7B" w:rsidP="00B10C48">
            <w:pPr>
              <w:suppressAutoHyphens/>
              <w:spacing w:after="0" w:line="240" w:lineRule="auto"/>
              <w:rPr>
                <w:rFonts w:ascii="Arial" w:eastAsia="Times New Roman" w:hAnsi="Arial" w:cs="Arial"/>
                <w:color w:val="auto"/>
                <w:sz w:val="20"/>
                <w:szCs w:val="20"/>
                <w:lang w:eastAsia="en-GB"/>
              </w:rPr>
            </w:pPr>
            <w:r w:rsidRPr="003E2C00">
              <w:rPr>
                <w:rFonts w:ascii="Arial" w:eastAsia="Times New Roman" w:hAnsi="Arial" w:cs="Arial"/>
                <w:color w:val="auto"/>
                <w:sz w:val="20"/>
                <w:szCs w:val="20"/>
                <w:lang w:eastAsia="en-GB"/>
              </w:rPr>
              <w:t>Number of fully or partially verified location level survey responses received</w:t>
            </w:r>
          </w:p>
        </w:tc>
        <w:tc>
          <w:tcPr>
            <w:tcW w:w="2013" w:type="dxa"/>
            <w:noWrap/>
            <w:vAlign w:val="center"/>
          </w:tcPr>
          <w:p w14:paraId="379A7BD4"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11</w:t>
            </w:r>
          </w:p>
        </w:tc>
        <w:tc>
          <w:tcPr>
            <w:tcW w:w="1984" w:type="dxa"/>
            <w:noWrap/>
            <w:vAlign w:val="center"/>
          </w:tcPr>
          <w:p w14:paraId="3C8D4A7C"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4</w:t>
            </w:r>
          </w:p>
        </w:tc>
        <w:tc>
          <w:tcPr>
            <w:tcW w:w="1985" w:type="dxa"/>
            <w:noWrap/>
            <w:vAlign w:val="center"/>
          </w:tcPr>
          <w:p w14:paraId="136F420E"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17</w:t>
            </w:r>
          </w:p>
        </w:tc>
        <w:tc>
          <w:tcPr>
            <w:tcW w:w="1956" w:type="dxa"/>
            <w:noWrap/>
            <w:vAlign w:val="center"/>
          </w:tcPr>
          <w:p w14:paraId="2E45BFBF"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color w:val="auto"/>
                <w:sz w:val="20"/>
                <w:szCs w:val="20"/>
              </w:rPr>
              <w:t>24</w:t>
            </w:r>
          </w:p>
        </w:tc>
      </w:tr>
      <w:tr w:rsidR="002D6E7B" w:rsidRPr="003E2C00" w14:paraId="37B24B93" w14:textId="77777777" w:rsidTr="0091122E">
        <w:trPr>
          <w:trHeight w:val="350"/>
          <w:jc w:val="center"/>
        </w:trPr>
        <w:tc>
          <w:tcPr>
            <w:tcW w:w="2547" w:type="dxa"/>
            <w:shd w:val="clear" w:color="auto" w:fill="D9D9D9" w:themeFill="background1" w:themeFillShade="D9"/>
            <w:noWrap/>
            <w:vAlign w:val="center"/>
          </w:tcPr>
          <w:p w14:paraId="709E1FE2"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Number of locations eligible to fill in the survey (excluding those found to be ineligible)</w:t>
            </w:r>
          </w:p>
        </w:tc>
        <w:tc>
          <w:tcPr>
            <w:tcW w:w="2013" w:type="dxa"/>
            <w:noWrap/>
            <w:vAlign w:val="center"/>
          </w:tcPr>
          <w:p w14:paraId="7D3A19F5" w14:textId="77777777" w:rsidR="002D6E7B" w:rsidRPr="003E2C00" w:rsidRDefault="002D6E7B" w:rsidP="00B10C48">
            <w:pPr>
              <w:jc w:val="center"/>
              <w:rPr>
                <w:rFonts w:ascii="Arial" w:hAnsi="Arial" w:cs="Arial"/>
                <w:color w:val="auto"/>
                <w:sz w:val="20"/>
                <w:szCs w:val="20"/>
                <w:vertAlign w:val="superscript"/>
                <w:lang w:eastAsia="en-GB"/>
              </w:rPr>
            </w:pPr>
            <w:r w:rsidRPr="003E2C00">
              <w:rPr>
                <w:rFonts w:ascii="Arial" w:hAnsi="Arial" w:cs="Arial"/>
                <w:color w:val="auto"/>
                <w:sz w:val="20"/>
                <w:szCs w:val="20"/>
              </w:rPr>
              <w:t>36</w:t>
            </w:r>
          </w:p>
          <w:p w14:paraId="3902CBC2"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p>
        </w:tc>
        <w:tc>
          <w:tcPr>
            <w:tcW w:w="1984" w:type="dxa"/>
            <w:noWrap/>
            <w:vAlign w:val="center"/>
          </w:tcPr>
          <w:p w14:paraId="3B4F9FC7" w14:textId="77777777" w:rsidR="002D6E7B" w:rsidRPr="003E2C00" w:rsidRDefault="002D6E7B" w:rsidP="00B10C48">
            <w:pPr>
              <w:jc w:val="center"/>
              <w:rPr>
                <w:rFonts w:ascii="Arial" w:hAnsi="Arial" w:cs="Arial"/>
                <w:color w:val="auto"/>
                <w:sz w:val="20"/>
                <w:szCs w:val="20"/>
                <w:vertAlign w:val="superscript"/>
                <w:lang w:eastAsia="en-GB"/>
              </w:rPr>
            </w:pPr>
            <w:r w:rsidRPr="003E2C00">
              <w:rPr>
                <w:rFonts w:ascii="Arial" w:hAnsi="Arial" w:cs="Arial"/>
                <w:color w:val="auto"/>
                <w:sz w:val="20"/>
                <w:szCs w:val="20"/>
              </w:rPr>
              <w:t>36</w:t>
            </w:r>
          </w:p>
          <w:p w14:paraId="78B16803"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p>
        </w:tc>
        <w:tc>
          <w:tcPr>
            <w:tcW w:w="1985" w:type="dxa"/>
            <w:noWrap/>
            <w:vAlign w:val="center"/>
          </w:tcPr>
          <w:p w14:paraId="48F0294F" w14:textId="77777777" w:rsidR="002D6E7B" w:rsidRPr="003E2C00" w:rsidRDefault="002D6E7B" w:rsidP="00B10C48">
            <w:pPr>
              <w:jc w:val="center"/>
              <w:rPr>
                <w:rFonts w:ascii="Arial" w:hAnsi="Arial" w:cs="Arial"/>
                <w:color w:val="auto"/>
                <w:sz w:val="20"/>
                <w:szCs w:val="20"/>
                <w:vertAlign w:val="superscript"/>
                <w:lang w:eastAsia="en-GB"/>
              </w:rPr>
            </w:pPr>
            <w:r w:rsidRPr="003E2C00">
              <w:rPr>
                <w:rFonts w:ascii="Arial" w:hAnsi="Arial" w:cs="Arial"/>
                <w:color w:val="auto"/>
                <w:sz w:val="20"/>
                <w:szCs w:val="20"/>
              </w:rPr>
              <w:t>75</w:t>
            </w:r>
          </w:p>
          <w:p w14:paraId="406D9D08"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p>
        </w:tc>
        <w:tc>
          <w:tcPr>
            <w:tcW w:w="1956" w:type="dxa"/>
            <w:noWrap/>
            <w:vAlign w:val="center"/>
          </w:tcPr>
          <w:p w14:paraId="482E13DF" w14:textId="77777777" w:rsidR="002D6E7B" w:rsidRPr="003E2C00" w:rsidRDefault="002D6E7B" w:rsidP="00B10C48">
            <w:pPr>
              <w:jc w:val="center"/>
              <w:rPr>
                <w:rFonts w:ascii="Arial" w:hAnsi="Arial" w:cs="Arial"/>
                <w:color w:val="auto"/>
                <w:sz w:val="20"/>
                <w:szCs w:val="20"/>
                <w:vertAlign w:val="superscript"/>
                <w:lang w:eastAsia="en-GB"/>
              </w:rPr>
            </w:pPr>
            <w:r w:rsidRPr="003E2C00">
              <w:rPr>
                <w:rFonts w:ascii="Arial" w:hAnsi="Arial" w:cs="Arial"/>
                <w:color w:val="auto"/>
                <w:sz w:val="20"/>
                <w:szCs w:val="20"/>
              </w:rPr>
              <w:t>75</w:t>
            </w:r>
          </w:p>
          <w:p w14:paraId="2ABD354B"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p>
        </w:tc>
      </w:tr>
      <w:tr w:rsidR="002D6E7B" w:rsidRPr="003E2C00" w14:paraId="72FA927D" w14:textId="77777777" w:rsidTr="0091122E">
        <w:trPr>
          <w:trHeight w:val="350"/>
          <w:jc w:val="center"/>
        </w:trPr>
        <w:tc>
          <w:tcPr>
            <w:tcW w:w="2547" w:type="dxa"/>
            <w:shd w:val="clear" w:color="auto" w:fill="D9D9D9" w:themeFill="background1" w:themeFillShade="D9"/>
            <w:noWrap/>
            <w:vAlign w:val="center"/>
          </w:tcPr>
          <w:p w14:paraId="4E0A0B43"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Number of residents covered by the responses</w:t>
            </w:r>
          </w:p>
        </w:tc>
        <w:tc>
          <w:tcPr>
            <w:tcW w:w="2013" w:type="dxa"/>
            <w:noWrap/>
          </w:tcPr>
          <w:p w14:paraId="725EE067"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431</w:t>
            </w:r>
          </w:p>
        </w:tc>
        <w:tc>
          <w:tcPr>
            <w:tcW w:w="1984" w:type="dxa"/>
            <w:noWrap/>
          </w:tcPr>
          <w:p w14:paraId="3CD3D22B"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126</w:t>
            </w:r>
          </w:p>
        </w:tc>
        <w:tc>
          <w:tcPr>
            <w:tcW w:w="1985" w:type="dxa"/>
            <w:noWrap/>
          </w:tcPr>
          <w:p w14:paraId="2532941D"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1561</w:t>
            </w:r>
          </w:p>
        </w:tc>
        <w:tc>
          <w:tcPr>
            <w:tcW w:w="1956" w:type="dxa"/>
            <w:noWrap/>
          </w:tcPr>
          <w:p w14:paraId="2068E3DF"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671</w:t>
            </w:r>
          </w:p>
        </w:tc>
      </w:tr>
      <w:tr w:rsidR="002D6E7B" w:rsidRPr="003E2C00" w14:paraId="17B5DA04" w14:textId="77777777" w:rsidTr="0091122E">
        <w:trPr>
          <w:trHeight w:val="350"/>
          <w:jc w:val="center"/>
        </w:trPr>
        <w:tc>
          <w:tcPr>
            <w:tcW w:w="2547" w:type="dxa"/>
            <w:shd w:val="clear" w:color="auto" w:fill="D9D9D9" w:themeFill="background1" w:themeFillShade="D9"/>
            <w:noWrap/>
            <w:vAlign w:val="center"/>
          </w:tcPr>
          <w:p w14:paraId="11D2B342"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Number of carer hours per resident per week</w:t>
            </w:r>
          </w:p>
        </w:tc>
        <w:tc>
          <w:tcPr>
            <w:tcW w:w="2013" w:type="dxa"/>
            <w:noWrap/>
          </w:tcPr>
          <w:p w14:paraId="5B33A98A"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23</w:t>
            </w:r>
          </w:p>
        </w:tc>
        <w:tc>
          <w:tcPr>
            <w:tcW w:w="1984" w:type="dxa"/>
            <w:noWrap/>
          </w:tcPr>
          <w:p w14:paraId="67FC06AC"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35</w:t>
            </w:r>
          </w:p>
        </w:tc>
        <w:tc>
          <w:tcPr>
            <w:tcW w:w="1985" w:type="dxa"/>
            <w:noWrap/>
          </w:tcPr>
          <w:p w14:paraId="4A98D1C5"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29</w:t>
            </w:r>
          </w:p>
        </w:tc>
        <w:tc>
          <w:tcPr>
            <w:tcW w:w="1956" w:type="dxa"/>
            <w:noWrap/>
          </w:tcPr>
          <w:p w14:paraId="63B451E0"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31</w:t>
            </w:r>
          </w:p>
        </w:tc>
      </w:tr>
      <w:tr w:rsidR="002D6E7B" w:rsidRPr="003E2C00" w14:paraId="6EC9B931" w14:textId="77777777" w:rsidTr="0091122E">
        <w:trPr>
          <w:trHeight w:val="350"/>
          <w:jc w:val="center"/>
        </w:trPr>
        <w:tc>
          <w:tcPr>
            <w:tcW w:w="2547" w:type="dxa"/>
            <w:shd w:val="clear" w:color="auto" w:fill="D9D9D9" w:themeFill="background1" w:themeFillShade="D9"/>
            <w:noWrap/>
            <w:vAlign w:val="center"/>
          </w:tcPr>
          <w:p w14:paraId="3679848D"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Number of nursing hours per resident per week</w:t>
            </w:r>
          </w:p>
        </w:tc>
        <w:tc>
          <w:tcPr>
            <w:tcW w:w="2013" w:type="dxa"/>
            <w:noWrap/>
          </w:tcPr>
          <w:p w14:paraId="6EDED86E"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w:t>
            </w:r>
          </w:p>
        </w:tc>
        <w:tc>
          <w:tcPr>
            <w:tcW w:w="1984" w:type="dxa"/>
            <w:noWrap/>
          </w:tcPr>
          <w:p w14:paraId="7621F18A"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w:t>
            </w:r>
          </w:p>
        </w:tc>
        <w:tc>
          <w:tcPr>
            <w:tcW w:w="1985" w:type="dxa"/>
            <w:noWrap/>
          </w:tcPr>
          <w:p w14:paraId="0F3C2576"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12</w:t>
            </w:r>
          </w:p>
        </w:tc>
        <w:tc>
          <w:tcPr>
            <w:tcW w:w="1956" w:type="dxa"/>
            <w:noWrap/>
          </w:tcPr>
          <w:p w14:paraId="1175C9C1"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12</w:t>
            </w:r>
          </w:p>
        </w:tc>
      </w:tr>
      <w:tr w:rsidR="002D6E7B" w:rsidRPr="003E2C00" w14:paraId="679D0CD6" w14:textId="77777777" w:rsidTr="0091122E">
        <w:trPr>
          <w:trHeight w:val="350"/>
          <w:jc w:val="center"/>
        </w:trPr>
        <w:tc>
          <w:tcPr>
            <w:tcW w:w="2547" w:type="dxa"/>
            <w:shd w:val="clear" w:color="auto" w:fill="D9D9D9" w:themeFill="background1" w:themeFillShade="D9"/>
            <w:noWrap/>
            <w:vAlign w:val="center"/>
          </w:tcPr>
          <w:p w14:paraId="4BD282F6"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Average carer basic pay per hour</w:t>
            </w:r>
          </w:p>
        </w:tc>
        <w:tc>
          <w:tcPr>
            <w:tcW w:w="2013" w:type="dxa"/>
            <w:noWrap/>
          </w:tcPr>
          <w:p w14:paraId="65F70270"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£12.35</w:t>
            </w:r>
          </w:p>
        </w:tc>
        <w:tc>
          <w:tcPr>
            <w:tcW w:w="1984" w:type="dxa"/>
            <w:noWrap/>
          </w:tcPr>
          <w:p w14:paraId="5025722E"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£11.99</w:t>
            </w:r>
          </w:p>
        </w:tc>
        <w:tc>
          <w:tcPr>
            <w:tcW w:w="1985" w:type="dxa"/>
            <w:noWrap/>
          </w:tcPr>
          <w:p w14:paraId="479A3357"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£11.85</w:t>
            </w:r>
          </w:p>
        </w:tc>
        <w:tc>
          <w:tcPr>
            <w:tcW w:w="1956" w:type="dxa"/>
            <w:noWrap/>
          </w:tcPr>
          <w:p w14:paraId="01B06847"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£11.43</w:t>
            </w:r>
          </w:p>
        </w:tc>
      </w:tr>
      <w:tr w:rsidR="002D6E7B" w:rsidRPr="003E2C00" w14:paraId="5B5DC645" w14:textId="77777777" w:rsidTr="0091122E">
        <w:trPr>
          <w:trHeight w:val="350"/>
          <w:jc w:val="center"/>
        </w:trPr>
        <w:tc>
          <w:tcPr>
            <w:tcW w:w="2547" w:type="dxa"/>
            <w:shd w:val="clear" w:color="auto" w:fill="D9D9D9" w:themeFill="background1" w:themeFillShade="D9"/>
            <w:noWrap/>
            <w:vAlign w:val="center"/>
          </w:tcPr>
          <w:p w14:paraId="0F024B8F"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Average nurse basic pay per hour</w:t>
            </w:r>
          </w:p>
        </w:tc>
        <w:tc>
          <w:tcPr>
            <w:tcW w:w="2013" w:type="dxa"/>
            <w:noWrap/>
          </w:tcPr>
          <w:p w14:paraId="661960F3"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w:t>
            </w:r>
          </w:p>
        </w:tc>
        <w:tc>
          <w:tcPr>
            <w:tcW w:w="1984" w:type="dxa"/>
            <w:noWrap/>
          </w:tcPr>
          <w:p w14:paraId="76A9265C"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w:t>
            </w:r>
          </w:p>
        </w:tc>
        <w:tc>
          <w:tcPr>
            <w:tcW w:w="1985" w:type="dxa"/>
            <w:noWrap/>
          </w:tcPr>
          <w:p w14:paraId="5231A0B1"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£20.13</w:t>
            </w:r>
          </w:p>
        </w:tc>
        <w:tc>
          <w:tcPr>
            <w:tcW w:w="1956" w:type="dxa"/>
            <w:noWrap/>
          </w:tcPr>
          <w:p w14:paraId="54EE7726"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£19.19</w:t>
            </w:r>
          </w:p>
        </w:tc>
      </w:tr>
      <w:tr w:rsidR="002D6E7B" w:rsidRPr="003E2C00" w14:paraId="11B2BDAA" w14:textId="77777777" w:rsidTr="0091122E">
        <w:trPr>
          <w:trHeight w:val="350"/>
          <w:jc w:val="center"/>
        </w:trPr>
        <w:tc>
          <w:tcPr>
            <w:tcW w:w="2547" w:type="dxa"/>
            <w:shd w:val="clear" w:color="auto" w:fill="D9D9D9" w:themeFill="background1" w:themeFillShade="D9"/>
            <w:noWrap/>
            <w:vAlign w:val="center"/>
          </w:tcPr>
          <w:p w14:paraId="378C1A43"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Average occupancy as a percentage of active beds</w:t>
            </w:r>
          </w:p>
        </w:tc>
        <w:tc>
          <w:tcPr>
            <w:tcW w:w="2013" w:type="dxa"/>
            <w:noWrap/>
          </w:tcPr>
          <w:p w14:paraId="14D843F9"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83.8%</w:t>
            </w:r>
          </w:p>
        </w:tc>
        <w:tc>
          <w:tcPr>
            <w:tcW w:w="1984" w:type="dxa"/>
            <w:noWrap/>
          </w:tcPr>
          <w:p w14:paraId="47B473CF"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83.8%</w:t>
            </w:r>
          </w:p>
        </w:tc>
        <w:tc>
          <w:tcPr>
            <w:tcW w:w="1985" w:type="dxa"/>
            <w:noWrap/>
          </w:tcPr>
          <w:p w14:paraId="70CBA98F"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83.8%</w:t>
            </w:r>
          </w:p>
        </w:tc>
        <w:tc>
          <w:tcPr>
            <w:tcW w:w="1956" w:type="dxa"/>
            <w:noWrap/>
          </w:tcPr>
          <w:p w14:paraId="5034B93A"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83.8%</w:t>
            </w:r>
          </w:p>
        </w:tc>
      </w:tr>
      <w:tr w:rsidR="002D6E7B" w:rsidRPr="003E2C00" w14:paraId="1945ADAF" w14:textId="77777777" w:rsidTr="0091122E">
        <w:trPr>
          <w:trHeight w:val="350"/>
          <w:jc w:val="center"/>
        </w:trPr>
        <w:tc>
          <w:tcPr>
            <w:tcW w:w="2547" w:type="dxa"/>
            <w:shd w:val="clear" w:color="auto" w:fill="D9D9D9" w:themeFill="background1" w:themeFillShade="D9"/>
            <w:noWrap/>
            <w:vAlign w:val="center"/>
          </w:tcPr>
          <w:p w14:paraId="1122E333" w14:textId="77777777" w:rsidR="002D6E7B" w:rsidRPr="003E2C00" w:rsidRDefault="002D6E7B" w:rsidP="00B10C48">
            <w:pPr>
              <w:suppressAutoHyphens/>
              <w:spacing w:after="0" w:line="240" w:lineRule="auto"/>
              <w:rPr>
                <w:rFonts w:ascii="Arial" w:eastAsia="Times New Roman" w:hAnsi="Arial" w:cs="Arial"/>
                <w:b/>
                <w:bCs/>
                <w:color w:val="auto"/>
                <w:sz w:val="20"/>
                <w:szCs w:val="20"/>
                <w:lang w:eastAsia="en-GB"/>
              </w:rPr>
            </w:pPr>
            <w:r w:rsidRPr="003E2C00">
              <w:rPr>
                <w:rFonts w:ascii="Arial" w:eastAsia="Times New Roman" w:hAnsi="Arial" w:cs="Arial"/>
                <w:color w:val="auto"/>
                <w:sz w:val="20"/>
                <w:szCs w:val="20"/>
                <w:lang w:eastAsia="en-GB"/>
              </w:rPr>
              <w:t>Freehold valuation per bed (capped, see Section 2.11.1)</w:t>
            </w:r>
          </w:p>
        </w:tc>
        <w:tc>
          <w:tcPr>
            <w:tcW w:w="2013" w:type="dxa"/>
            <w:noWrap/>
          </w:tcPr>
          <w:p w14:paraId="0272D719"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highlight w:val="yellow"/>
                <w:lang w:eastAsia="en-GB"/>
              </w:rPr>
            </w:pPr>
            <w:r w:rsidRPr="003E2C00">
              <w:rPr>
                <w:rFonts w:ascii="Arial" w:hAnsi="Arial" w:cs="Arial"/>
                <w:sz w:val="20"/>
                <w:szCs w:val="20"/>
              </w:rPr>
              <w:t>£110,000</w:t>
            </w:r>
          </w:p>
        </w:tc>
        <w:tc>
          <w:tcPr>
            <w:tcW w:w="1984" w:type="dxa"/>
            <w:noWrap/>
          </w:tcPr>
          <w:p w14:paraId="0AB29D12"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£110,000</w:t>
            </w:r>
          </w:p>
        </w:tc>
        <w:tc>
          <w:tcPr>
            <w:tcW w:w="1985" w:type="dxa"/>
            <w:noWrap/>
          </w:tcPr>
          <w:p w14:paraId="01407DDB"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£110,000</w:t>
            </w:r>
          </w:p>
        </w:tc>
        <w:tc>
          <w:tcPr>
            <w:tcW w:w="1956" w:type="dxa"/>
            <w:noWrap/>
          </w:tcPr>
          <w:p w14:paraId="2228FB84" w14:textId="77777777" w:rsidR="002D6E7B" w:rsidRPr="003E2C00" w:rsidRDefault="002D6E7B" w:rsidP="00B10C48">
            <w:pPr>
              <w:suppressAutoHyphens/>
              <w:spacing w:after="0" w:line="240" w:lineRule="auto"/>
              <w:jc w:val="center"/>
              <w:rPr>
                <w:rFonts w:ascii="Arial" w:eastAsia="Times New Roman" w:hAnsi="Arial" w:cs="Arial"/>
                <w:b/>
                <w:bCs/>
                <w:color w:val="auto"/>
                <w:sz w:val="20"/>
                <w:szCs w:val="20"/>
                <w:lang w:eastAsia="en-GB"/>
              </w:rPr>
            </w:pPr>
            <w:r w:rsidRPr="003E2C00">
              <w:rPr>
                <w:rFonts w:ascii="Arial" w:hAnsi="Arial" w:cs="Arial"/>
                <w:sz w:val="20"/>
                <w:szCs w:val="20"/>
              </w:rPr>
              <w:t>£110,000</w:t>
            </w:r>
          </w:p>
        </w:tc>
      </w:tr>
    </w:tbl>
    <w:p w14:paraId="08E457F8" w14:textId="77777777" w:rsidR="0091122E" w:rsidRDefault="0091122E" w:rsidP="0091122E">
      <w:pPr>
        <w:pStyle w:val="ListParagraph"/>
        <w:rPr>
          <w:rFonts w:ascii="Arial" w:hAnsi="Arial" w:cs="Arial"/>
          <w:color w:val="auto"/>
          <w:sz w:val="14"/>
          <w:szCs w:val="14"/>
        </w:rPr>
      </w:pPr>
    </w:p>
    <w:p w14:paraId="5CEFFAEF" w14:textId="77777777" w:rsidR="0091122E" w:rsidRDefault="0091122E" w:rsidP="0091122E">
      <w:pPr>
        <w:pStyle w:val="ListParagraph"/>
        <w:rPr>
          <w:rFonts w:ascii="Arial" w:hAnsi="Arial" w:cs="Arial"/>
          <w:color w:val="auto"/>
          <w:sz w:val="14"/>
          <w:szCs w:val="14"/>
        </w:rPr>
      </w:pPr>
    </w:p>
    <w:p w14:paraId="1E4FBD42" w14:textId="3B0F81B6" w:rsidR="000A5923" w:rsidRPr="0091122E" w:rsidRDefault="000A5923" w:rsidP="0091122E">
      <w:pPr>
        <w:pStyle w:val="ListParagraph"/>
        <w:numPr>
          <w:ilvl w:val="0"/>
          <w:numId w:val="34"/>
        </w:numPr>
        <w:rPr>
          <w:rFonts w:ascii="Arial" w:hAnsi="Arial" w:cs="Arial"/>
          <w:color w:val="auto"/>
          <w:sz w:val="14"/>
          <w:szCs w:val="14"/>
        </w:rPr>
      </w:pPr>
      <w:r w:rsidRPr="0091122E">
        <w:rPr>
          <w:rFonts w:ascii="Arial" w:hAnsi="Arial" w:cs="Arial"/>
          <w:color w:val="auto"/>
          <w:sz w:val="14"/>
          <w:szCs w:val="14"/>
        </w:rPr>
        <w:t>Number of fully or partially verified location level survey responses received equals to (standard + enhanced), (Residential: 11+4 = 15) and (Nursing: 17+24 = 41).</w:t>
      </w:r>
    </w:p>
    <w:p w14:paraId="741C5F05" w14:textId="5B1055AD" w:rsidR="000A5923" w:rsidRPr="0091122E" w:rsidRDefault="000A5923" w:rsidP="0091122E">
      <w:pPr>
        <w:pStyle w:val="ListParagraph"/>
        <w:numPr>
          <w:ilvl w:val="0"/>
          <w:numId w:val="34"/>
        </w:numPr>
        <w:rPr>
          <w:rFonts w:ascii="Arial" w:hAnsi="Arial" w:cs="Arial"/>
          <w:color w:val="auto"/>
          <w:sz w:val="14"/>
          <w:szCs w:val="14"/>
        </w:rPr>
      </w:pPr>
      <w:r w:rsidRPr="0091122E">
        <w:rPr>
          <w:rFonts w:ascii="Arial" w:hAnsi="Arial" w:cs="Arial"/>
          <w:color w:val="auto"/>
          <w:sz w:val="14"/>
          <w:szCs w:val="14"/>
        </w:rPr>
        <w:t>For both residential and nursing care, numbers given for standard and enhanced locations eligible to fill in the survey are equal. This is a result of this information not being made available through care cubed for in-scope locations that did not make a submission.</w:t>
      </w:r>
    </w:p>
    <w:p w14:paraId="0D37002D" w14:textId="77777777" w:rsidR="00C5346A" w:rsidRPr="0091122E" w:rsidRDefault="000A5923" w:rsidP="0091122E">
      <w:pPr>
        <w:pStyle w:val="ListParagraph"/>
        <w:numPr>
          <w:ilvl w:val="0"/>
          <w:numId w:val="34"/>
        </w:numPr>
        <w:rPr>
          <w:rFonts w:ascii="Arial" w:hAnsi="Arial" w:cs="Arial"/>
          <w:color w:val="auto"/>
          <w:sz w:val="14"/>
          <w:szCs w:val="14"/>
        </w:rPr>
      </w:pPr>
      <w:r w:rsidRPr="0091122E">
        <w:rPr>
          <w:rFonts w:ascii="Arial" w:hAnsi="Arial" w:cs="Arial"/>
          <w:color w:val="auto"/>
          <w:sz w:val="14"/>
          <w:szCs w:val="14"/>
        </w:rPr>
        <w:t>The nursing hours per resident per week calculated from LaingBuisson’s Care Cost Benchmark Subscription product is 8.4 hours per resident per week.</w:t>
      </w:r>
    </w:p>
    <w:p w14:paraId="0E637FBE" w14:textId="0C0380F7" w:rsidR="00EE2481" w:rsidRPr="0091122E" w:rsidRDefault="00995855" w:rsidP="0091122E">
      <w:pPr>
        <w:pStyle w:val="ListParagraph"/>
        <w:numPr>
          <w:ilvl w:val="0"/>
          <w:numId w:val="34"/>
        </w:numPr>
        <w:rPr>
          <w:rFonts w:ascii="Arial" w:hAnsi="Arial" w:cs="Arial"/>
          <w:color w:val="auto"/>
          <w:sz w:val="10"/>
          <w:szCs w:val="10"/>
        </w:rPr>
      </w:pPr>
      <w:r w:rsidRPr="0091122E">
        <w:rPr>
          <w:rFonts w:ascii="Arial" w:hAnsi="Arial" w:cs="Arial"/>
          <w:color w:val="auto"/>
          <w:sz w:val="14"/>
          <w:szCs w:val="14"/>
        </w:rPr>
        <w:t xml:space="preserve">All data derived from toolkit responses except for return on capital and return on operations, which have been superseded by the council based on a 6% annual return on capital for premises and a </w:t>
      </w:r>
      <w:r w:rsidR="00491F79" w:rsidRPr="0091122E">
        <w:rPr>
          <w:rFonts w:ascii="Arial" w:hAnsi="Arial" w:cs="Arial"/>
          <w:color w:val="auto"/>
          <w:sz w:val="14"/>
          <w:szCs w:val="14"/>
        </w:rPr>
        <w:t>5</w:t>
      </w:r>
      <w:r w:rsidRPr="0091122E">
        <w:rPr>
          <w:rFonts w:ascii="Arial" w:hAnsi="Arial" w:cs="Arial"/>
          <w:color w:val="auto"/>
          <w:sz w:val="14"/>
          <w:szCs w:val="14"/>
        </w:rPr>
        <w:t xml:space="preserve">% mark-up on operating and head office costs for return on operations </w:t>
      </w:r>
    </w:p>
    <w:p w14:paraId="7D772EF6" w14:textId="7E874154" w:rsidR="0091122E" w:rsidRDefault="0091122E" w:rsidP="0091122E">
      <w:pPr>
        <w:pStyle w:val="ListParagraph"/>
        <w:rPr>
          <w:rFonts w:ascii="Arial" w:hAnsi="Arial" w:cs="Arial"/>
          <w:color w:val="auto"/>
          <w:sz w:val="14"/>
          <w:szCs w:val="14"/>
        </w:rPr>
      </w:pPr>
    </w:p>
    <w:p w14:paraId="25E22961" w14:textId="33CB2C1B" w:rsidR="0091122E" w:rsidRDefault="0091122E" w:rsidP="0091122E">
      <w:pPr>
        <w:pStyle w:val="ListParagraph"/>
        <w:rPr>
          <w:rFonts w:ascii="Arial" w:hAnsi="Arial" w:cs="Arial"/>
          <w:color w:val="auto"/>
          <w:sz w:val="14"/>
          <w:szCs w:val="14"/>
        </w:rPr>
      </w:pPr>
    </w:p>
    <w:p w14:paraId="1467C733" w14:textId="77777777" w:rsidR="0091122E" w:rsidRPr="0091122E" w:rsidRDefault="0091122E" w:rsidP="0091122E">
      <w:pPr>
        <w:pStyle w:val="ListParagraph"/>
        <w:rPr>
          <w:rFonts w:ascii="Arial" w:hAnsi="Arial" w:cs="Arial"/>
          <w:color w:val="auto"/>
          <w:sz w:val="10"/>
          <w:szCs w:val="10"/>
        </w:rPr>
      </w:pPr>
    </w:p>
    <w:p w14:paraId="6DD24449" w14:textId="77777777" w:rsidR="0084182A" w:rsidRPr="0084182A" w:rsidRDefault="00995855" w:rsidP="0084182A">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23" w:name="_Toc114240161"/>
      <w:r w:rsidRPr="0084182A">
        <w:rPr>
          <w:rFonts w:ascii="Arial" w:eastAsia="Times New Roman" w:hAnsi="Arial" w:cs="Arial"/>
          <w:color w:val="auto"/>
          <w:lang w:eastAsia="en-GB"/>
        </w:rPr>
        <w:t>2.11 Sensitivity analysis</w:t>
      </w:r>
      <w:bookmarkEnd w:id="23"/>
    </w:p>
    <w:p w14:paraId="3F5309D8" w14:textId="77777777" w:rsidR="00402224" w:rsidRDefault="00402224" w:rsidP="0084182A">
      <w:pPr>
        <w:tabs>
          <w:tab w:val="num" w:pos="0"/>
          <w:tab w:val="right" w:pos="9071"/>
        </w:tabs>
        <w:suppressAutoHyphens/>
        <w:spacing w:after="0" w:line="280" w:lineRule="exact"/>
        <w:jc w:val="both"/>
        <w:outlineLvl w:val="1"/>
        <w:rPr>
          <w:rFonts w:ascii="Arial" w:hAnsi="Arial" w:cs="Arial"/>
          <w:color w:val="auto"/>
        </w:rPr>
      </w:pPr>
    </w:p>
    <w:p w14:paraId="6EAB4DDF" w14:textId="31F28131" w:rsidR="00995855" w:rsidRPr="0084182A" w:rsidRDefault="00995855" w:rsidP="0084182A">
      <w:pPr>
        <w:tabs>
          <w:tab w:val="num" w:pos="0"/>
          <w:tab w:val="right" w:pos="9071"/>
        </w:tabs>
        <w:suppressAutoHyphens/>
        <w:spacing w:after="0" w:line="280" w:lineRule="exact"/>
        <w:jc w:val="both"/>
        <w:outlineLvl w:val="1"/>
        <w:rPr>
          <w:rFonts w:ascii="Arial" w:eastAsia="Times New Roman" w:hAnsi="Arial" w:cs="Arial"/>
          <w:color w:val="941F64"/>
          <w:lang w:eastAsia="en-GB"/>
        </w:rPr>
      </w:pPr>
      <w:r w:rsidRPr="00995855">
        <w:rPr>
          <w:rFonts w:ascii="Arial" w:hAnsi="Arial" w:cs="Arial"/>
          <w:color w:val="auto"/>
        </w:rPr>
        <w:t xml:space="preserve">The </w:t>
      </w:r>
      <w:bookmarkStart w:id="24" w:name="_Hlk116049991"/>
      <w:r w:rsidRPr="00995855">
        <w:rPr>
          <w:rFonts w:ascii="Arial" w:hAnsi="Arial" w:cs="Arial"/>
          <w:color w:val="auto"/>
        </w:rPr>
        <w:t xml:space="preserve">median total costs set out in Table 4 </w:t>
      </w:r>
      <w:bookmarkEnd w:id="24"/>
      <w:r w:rsidRPr="00995855">
        <w:rPr>
          <w:rFonts w:ascii="Arial" w:hAnsi="Arial" w:cs="Arial"/>
          <w:color w:val="auto"/>
        </w:rPr>
        <w:t>are sensitive to the following factors:</w:t>
      </w:r>
    </w:p>
    <w:p w14:paraId="3CD7457E" w14:textId="77777777" w:rsidR="00995855" w:rsidRPr="00995855" w:rsidRDefault="00995855" w:rsidP="00995855">
      <w:pPr>
        <w:spacing w:after="0" w:line="280" w:lineRule="exact"/>
        <w:jc w:val="both"/>
        <w:rPr>
          <w:rFonts w:ascii="Arial" w:hAnsi="Arial" w:cs="Arial"/>
        </w:rPr>
      </w:pPr>
    </w:p>
    <w:p w14:paraId="2991D8C1" w14:textId="25567AEF" w:rsidR="00995855" w:rsidRPr="00995855"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 xml:space="preserve">The efficacy of the validation process in eliminating implausible and incorrect toolkit submissions for individual cost lines. </w:t>
      </w:r>
      <w:r w:rsidR="006D1D8D">
        <w:rPr>
          <w:rFonts w:ascii="Arial" w:hAnsi="Arial" w:cs="Arial"/>
          <w:color w:val="auto"/>
          <w:lang w:eastAsia="en-GB"/>
        </w:rPr>
        <w:t>LaingBuisson</w:t>
      </w:r>
      <w:r w:rsidRPr="00995855">
        <w:rPr>
          <w:rFonts w:ascii="Arial" w:eastAsia="Times New Roman" w:hAnsi="Arial" w:cs="Arial"/>
          <w:color w:val="auto"/>
          <w:lang w:eastAsia="en-GB"/>
        </w:rPr>
        <w:t xml:space="preserve"> believe that the validation process, as described in Section 2.5 was effective.</w:t>
      </w:r>
    </w:p>
    <w:p w14:paraId="5B351FC1" w14:textId="77777777" w:rsidR="00995855" w:rsidRPr="00995855" w:rsidRDefault="00995855" w:rsidP="00995855">
      <w:pPr>
        <w:suppressAutoHyphens/>
        <w:spacing w:after="0" w:line="280" w:lineRule="exact"/>
        <w:ind w:left="720"/>
        <w:jc w:val="both"/>
        <w:rPr>
          <w:rFonts w:ascii="Arial" w:eastAsia="Times New Roman" w:hAnsi="Arial" w:cs="Arial"/>
          <w:color w:val="auto"/>
          <w:lang w:eastAsia="en-GB"/>
        </w:rPr>
      </w:pPr>
    </w:p>
    <w:p w14:paraId="20101F6F" w14:textId="01B6DE19" w:rsidR="00995855" w:rsidRPr="00995855"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lastRenderedPageBreak/>
        <w:t xml:space="preserve">The validity of the rules adopted for elimination of outliers before calculating the medians for each cost line. Outlier exclusion was restrictive, and </w:t>
      </w:r>
      <w:r w:rsidR="006D1D8D">
        <w:rPr>
          <w:rFonts w:ascii="Arial" w:hAnsi="Arial" w:cs="Arial"/>
          <w:color w:val="auto"/>
          <w:lang w:eastAsia="en-GB"/>
        </w:rPr>
        <w:t>LaingBuisson</w:t>
      </w:r>
      <w:r w:rsidRPr="00995855">
        <w:rPr>
          <w:rFonts w:ascii="Arial" w:eastAsia="Times New Roman" w:hAnsi="Arial" w:cs="Arial"/>
          <w:color w:val="auto"/>
          <w:lang w:eastAsia="en-GB"/>
        </w:rPr>
        <w:t xml:space="preserve"> believe the rules adopted, as described in </w:t>
      </w:r>
      <w:r w:rsidRPr="00A72ABE">
        <w:rPr>
          <w:rFonts w:ascii="Arial" w:eastAsia="Times New Roman" w:hAnsi="Arial" w:cs="Arial"/>
          <w:color w:val="auto"/>
          <w:lang w:eastAsia="en-GB"/>
        </w:rPr>
        <w:t>Section 2.6</w:t>
      </w:r>
      <w:r w:rsidRPr="00995855">
        <w:rPr>
          <w:rFonts w:ascii="Arial" w:eastAsia="Times New Roman" w:hAnsi="Arial" w:cs="Arial"/>
          <w:color w:val="auto"/>
          <w:lang w:eastAsia="en-GB"/>
        </w:rPr>
        <w:t xml:space="preserve"> were appropriate.</w:t>
      </w:r>
    </w:p>
    <w:p w14:paraId="2592A384" w14:textId="77777777" w:rsidR="00995855" w:rsidRPr="00995855" w:rsidRDefault="00995855" w:rsidP="00995855">
      <w:pPr>
        <w:suppressAutoHyphens/>
        <w:spacing w:after="0" w:line="240" w:lineRule="auto"/>
        <w:ind w:left="720"/>
        <w:rPr>
          <w:rFonts w:ascii="Arial" w:eastAsia="Times New Roman" w:hAnsi="Arial" w:cs="Arial"/>
          <w:color w:val="auto"/>
          <w:lang w:eastAsia="en-GB"/>
        </w:rPr>
      </w:pPr>
    </w:p>
    <w:p w14:paraId="0597CFA8" w14:textId="77777777" w:rsidR="00995855" w:rsidRPr="00A72ABE" w:rsidRDefault="00995855" w:rsidP="00EC7E75">
      <w:pPr>
        <w:numPr>
          <w:ilvl w:val="0"/>
          <w:numId w:val="1"/>
        </w:numPr>
        <w:suppressAutoHyphens/>
        <w:spacing w:after="0" w:line="280" w:lineRule="exact"/>
        <w:jc w:val="both"/>
        <w:rPr>
          <w:rFonts w:ascii="Arial" w:eastAsia="Times New Roman" w:hAnsi="Arial" w:cs="Arial"/>
          <w:color w:val="auto"/>
          <w:lang w:eastAsia="en-GB"/>
        </w:rPr>
      </w:pPr>
      <w:bookmarkStart w:id="25" w:name="_Hlk116050001"/>
      <w:r w:rsidRPr="00A72ABE">
        <w:rPr>
          <w:rFonts w:ascii="Arial" w:eastAsia="Times New Roman" w:hAnsi="Arial" w:cs="Arial"/>
          <w:color w:val="auto"/>
          <w:lang w:eastAsia="en-GB"/>
        </w:rPr>
        <w:t>Calculation</w:t>
      </w:r>
      <w:r w:rsidRPr="00995855">
        <w:rPr>
          <w:rFonts w:ascii="Arial" w:eastAsia="Times New Roman" w:hAnsi="Arial" w:cs="Arial"/>
          <w:color w:val="auto"/>
          <w:lang w:eastAsia="en-GB"/>
        </w:rPr>
        <w:t xml:space="preserve"> of capital cost per occupied bed, including the Return on Capital benchmark adopted, see Section </w:t>
      </w:r>
      <w:r w:rsidRPr="00A72ABE">
        <w:rPr>
          <w:rFonts w:ascii="Arial" w:eastAsia="Times New Roman" w:hAnsi="Arial" w:cs="Arial"/>
          <w:color w:val="auto"/>
          <w:lang w:eastAsia="en-GB"/>
        </w:rPr>
        <w:t>2.11.1</w:t>
      </w:r>
    </w:p>
    <w:bookmarkEnd w:id="25"/>
    <w:p w14:paraId="2C060532" w14:textId="77777777" w:rsidR="00995855" w:rsidRPr="00995855" w:rsidRDefault="00995855" w:rsidP="00995855">
      <w:pPr>
        <w:suppressAutoHyphens/>
        <w:spacing w:after="0" w:line="240" w:lineRule="auto"/>
        <w:ind w:left="720"/>
        <w:rPr>
          <w:rFonts w:ascii="Arial" w:eastAsia="Times New Roman" w:hAnsi="Arial" w:cs="Arial"/>
          <w:color w:val="auto"/>
          <w:lang w:eastAsia="en-GB"/>
        </w:rPr>
      </w:pPr>
    </w:p>
    <w:p w14:paraId="7E022C99" w14:textId="77777777" w:rsidR="00995855" w:rsidRPr="00A72ABE" w:rsidRDefault="00995855" w:rsidP="00EC7E75">
      <w:pPr>
        <w:numPr>
          <w:ilvl w:val="0"/>
          <w:numId w:val="1"/>
        </w:numPr>
        <w:suppressAutoHyphens/>
        <w:spacing w:after="0" w:line="280" w:lineRule="exact"/>
        <w:jc w:val="both"/>
        <w:rPr>
          <w:rFonts w:ascii="Arial" w:eastAsia="Times New Roman" w:hAnsi="Arial" w:cs="Arial"/>
          <w:color w:val="auto"/>
          <w:lang w:eastAsia="en-GB"/>
        </w:rPr>
      </w:pPr>
      <w:bookmarkStart w:id="26" w:name="_Hlk116050013"/>
      <w:r w:rsidRPr="00995855">
        <w:rPr>
          <w:rFonts w:ascii="Arial" w:eastAsia="Times New Roman" w:hAnsi="Arial" w:cs="Arial"/>
          <w:color w:val="auto"/>
          <w:lang w:eastAsia="en-GB"/>
        </w:rPr>
        <w:t xml:space="preserve">Adjustment for occupancy, if any, see Section </w:t>
      </w:r>
      <w:r w:rsidRPr="00A72ABE">
        <w:rPr>
          <w:rFonts w:ascii="Arial" w:eastAsia="Times New Roman" w:hAnsi="Arial" w:cs="Arial"/>
          <w:color w:val="auto"/>
          <w:lang w:eastAsia="en-GB"/>
        </w:rPr>
        <w:t>2.11.2</w:t>
      </w:r>
    </w:p>
    <w:bookmarkEnd w:id="26"/>
    <w:p w14:paraId="3475D6D4" w14:textId="77777777" w:rsidR="00995855" w:rsidRPr="00995855" w:rsidRDefault="00995855" w:rsidP="00995855">
      <w:pPr>
        <w:suppressAutoHyphens/>
        <w:spacing w:after="0" w:line="240" w:lineRule="auto"/>
        <w:ind w:left="720"/>
        <w:rPr>
          <w:rFonts w:ascii="Arial" w:eastAsia="Times New Roman" w:hAnsi="Arial" w:cs="Arial"/>
          <w:color w:val="auto"/>
          <w:lang w:eastAsia="en-GB"/>
        </w:rPr>
      </w:pPr>
    </w:p>
    <w:p w14:paraId="27BF5690" w14:textId="77777777" w:rsidR="00995855" w:rsidRPr="00A72ABE"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 xml:space="preserve">The approach to calculating confidence intervals for the median total costs, see Section </w:t>
      </w:r>
      <w:r w:rsidRPr="00A72ABE">
        <w:rPr>
          <w:rFonts w:ascii="Arial" w:eastAsia="Times New Roman" w:hAnsi="Arial" w:cs="Arial"/>
          <w:color w:val="auto"/>
          <w:lang w:eastAsia="en-GB"/>
        </w:rPr>
        <w:t>2.11.3</w:t>
      </w:r>
    </w:p>
    <w:p w14:paraId="72689A17" w14:textId="77777777" w:rsidR="00995855" w:rsidRPr="00995855" w:rsidRDefault="00995855" w:rsidP="00995855">
      <w:pPr>
        <w:suppressAutoHyphens/>
        <w:spacing w:after="0" w:line="240" w:lineRule="auto"/>
        <w:ind w:left="720"/>
        <w:rPr>
          <w:rFonts w:ascii="Arial" w:eastAsia="Times New Roman" w:hAnsi="Arial" w:cs="Arial"/>
          <w:color w:val="auto"/>
          <w:lang w:eastAsia="en-GB"/>
        </w:rPr>
      </w:pPr>
    </w:p>
    <w:p w14:paraId="31EC6502" w14:textId="0A300560" w:rsidR="00995855" w:rsidRPr="00AC4BB3" w:rsidRDefault="00995855" w:rsidP="00EC7E75">
      <w:pPr>
        <w:numPr>
          <w:ilvl w:val="0"/>
          <w:numId w:val="1"/>
        </w:numPr>
        <w:suppressAutoHyphens/>
        <w:spacing w:after="0" w:line="280" w:lineRule="exact"/>
        <w:jc w:val="both"/>
        <w:rPr>
          <w:rFonts w:ascii="Arial" w:eastAsia="Times New Roman" w:hAnsi="Arial" w:cs="Arial"/>
          <w:color w:val="auto"/>
          <w:lang w:eastAsia="en-GB"/>
        </w:rPr>
      </w:pPr>
      <w:bookmarkStart w:id="27" w:name="_Hlk116050024"/>
      <w:r w:rsidRPr="00AC4BB3">
        <w:rPr>
          <w:rFonts w:ascii="Arial" w:eastAsia="Times New Roman" w:hAnsi="Arial" w:cs="Arial"/>
          <w:color w:val="auto"/>
          <w:lang w:eastAsia="en-GB"/>
        </w:rPr>
        <w:t xml:space="preserve">Special local factors, including a breakdown of care homes by group providers, we found that the </w:t>
      </w:r>
      <w:r w:rsidR="00AC4BB3" w:rsidRPr="00AC4BB3">
        <w:rPr>
          <w:rFonts w:ascii="Arial" w:eastAsia="Times New Roman" w:hAnsi="Arial" w:cs="Arial"/>
          <w:color w:val="auto"/>
          <w:lang w:eastAsia="en-GB"/>
        </w:rPr>
        <w:t>one provider</w:t>
      </w:r>
      <w:r w:rsidRPr="00AC4BB3">
        <w:rPr>
          <w:rFonts w:ascii="Arial" w:eastAsia="Times New Roman" w:hAnsi="Arial" w:cs="Arial"/>
          <w:color w:val="auto"/>
          <w:lang w:eastAsia="en-GB"/>
        </w:rPr>
        <w:t xml:space="preserve"> accounted for 29% of the validated responses, which is sixteen care homes out of fifty-six submissions. </w:t>
      </w:r>
    </w:p>
    <w:bookmarkEnd w:id="27"/>
    <w:p w14:paraId="54EBD2EB" w14:textId="77777777" w:rsidR="00995855" w:rsidRPr="00995855" w:rsidRDefault="00995855" w:rsidP="00995855">
      <w:pPr>
        <w:spacing w:after="0" w:line="280" w:lineRule="exact"/>
        <w:jc w:val="both"/>
        <w:rPr>
          <w:rFonts w:ascii="Arial" w:hAnsi="Arial" w:cs="Arial"/>
          <w:color w:val="auto"/>
        </w:rPr>
      </w:pPr>
    </w:p>
    <w:p w14:paraId="76076F5D" w14:textId="77777777" w:rsidR="00995855" w:rsidRPr="00B90BF0"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B90BF0">
        <w:rPr>
          <w:rFonts w:ascii="Arial" w:eastAsia="Times New Roman" w:hAnsi="Arial" w:cs="Arial"/>
          <w:color w:val="auto"/>
          <w:lang w:eastAsia="en-GB"/>
        </w:rPr>
        <w:t>the value of each of the benchmark rates (return on capital and return on operations) that councils may, in line with DHSC guidance, set at their own discretion, subject to being evidence based.</w:t>
      </w:r>
    </w:p>
    <w:p w14:paraId="16483581" w14:textId="77777777" w:rsidR="00995855" w:rsidRPr="00995855" w:rsidRDefault="00995855" w:rsidP="00995855">
      <w:pPr>
        <w:spacing w:after="0" w:line="280" w:lineRule="exact"/>
        <w:jc w:val="both"/>
        <w:rPr>
          <w:rFonts w:ascii="Arial" w:hAnsi="Arial" w:cs="Arial"/>
          <w:color w:val="auto"/>
        </w:rPr>
      </w:pPr>
    </w:p>
    <w:p w14:paraId="6B394CEF" w14:textId="03AF484C" w:rsidR="00995855" w:rsidRPr="00995855" w:rsidRDefault="0084182A" w:rsidP="00995855">
      <w:pPr>
        <w:spacing w:after="0" w:line="280" w:lineRule="exact"/>
        <w:jc w:val="both"/>
        <w:rPr>
          <w:rFonts w:ascii="Arial" w:hAnsi="Arial" w:cs="Arial"/>
          <w:color w:val="auto"/>
        </w:rPr>
      </w:pPr>
      <w:bookmarkStart w:id="28" w:name="_Hlk116050035"/>
      <w:r w:rsidRPr="00995855">
        <w:rPr>
          <w:rFonts w:ascii="Arial" w:hAnsi="Arial" w:cs="Arial"/>
          <w:color w:val="auto"/>
        </w:rPr>
        <w:t>Laing Buisson’s</w:t>
      </w:r>
      <w:r w:rsidR="00995855" w:rsidRPr="00995855">
        <w:rPr>
          <w:rFonts w:ascii="Arial" w:hAnsi="Arial" w:cs="Arial"/>
          <w:color w:val="auto"/>
        </w:rPr>
        <w:t xml:space="preserve"> advice (see Appendix 1</w:t>
      </w:r>
      <w:r w:rsidR="004B5536">
        <w:rPr>
          <w:rFonts w:ascii="Arial" w:hAnsi="Arial" w:cs="Arial"/>
          <w:color w:val="auto"/>
        </w:rPr>
        <w:t>of this care home report</w:t>
      </w:r>
      <w:r w:rsidR="00995855" w:rsidRPr="00995855">
        <w:rPr>
          <w:rFonts w:ascii="Arial" w:hAnsi="Arial" w:cs="Arial"/>
          <w:color w:val="auto"/>
        </w:rPr>
        <w:t xml:space="preserve">) is that there is strong evidence for setting the return on capital benchmark at 6% per annum and the return on operations benchmark at a 10% mark-up on operating costs. </w:t>
      </w:r>
      <w:r w:rsidR="006D1D8D">
        <w:rPr>
          <w:rFonts w:ascii="Arial" w:hAnsi="Arial" w:cs="Arial"/>
          <w:color w:val="auto"/>
        </w:rPr>
        <w:t>However, on the balance of wider evidence this</w:t>
      </w:r>
      <w:r w:rsidR="00995855" w:rsidRPr="00995855">
        <w:rPr>
          <w:rFonts w:ascii="Arial" w:hAnsi="Arial" w:cs="Arial"/>
          <w:color w:val="auto"/>
        </w:rPr>
        <w:t xml:space="preserve"> </w:t>
      </w:r>
      <w:r w:rsidR="00491F79">
        <w:rPr>
          <w:rFonts w:ascii="Arial" w:hAnsi="Arial" w:cs="Arial"/>
          <w:color w:val="auto"/>
        </w:rPr>
        <w:t>has</w:t>
      </w:r>
      <w:r w:rsidR="00995855" w:rsidRPr="00995855">
        <w:rPr>
          <w:rFonts w:ascii="Arial" w:hAnsi="Arial" w:cs="Arial"/>
          <w:color w:val="auto"/>
        </w:rPr>
        <w:t xml:space="preserve"> </w:t>
      </w:r>
      <w:r w:rsidR="00491F79">
        <w:rPr>
          <w:rFonts w:ascii="Arial" w:hAnsi="Arial" w:cs="Arial"/>
          <w:color w:val="auto"/>
        </w:rPr>
        <w:t xml:space="preserve">not been </w:t>
      </w:r>
      <w:r w:rsidR="006D1D8D">
        <w:rPr>
          <w:rFonts w:ascii="Arial" w:hAnsi="Arial" w:cs="Arial"/>
          <w:color w:val="auto"/>
        </w:rPr>
        <w:t>ado</w:t>
      </w:r>
      <w:r w:rsidR="006D1D8D" w:rsidRPr="00995855">
        <w:rPr>
          <w:rFonts w:ascii="Arial" w:hAnsi="Arial" w:cs="Arial"/>
          <w:color w:val="auto"/>
        </w:rPr>
        <w:t>pted</w:t>
      </w:r>
      <w:r w:rsidR="006D1D8D">
        <w:rPr>
          <w:rFonts w:ascii="Arial" w:hAnsi="Arial" w:cs="Arial"/>
          <w:color w:val="auto"/>
        </w:rPr>
        <w:t xml:space="preserve"> by the council</w:t>
      </w:r>
      <w:r w:rsidR="00491F79">
        <w:rPr>
          <w:rFonts w:ascii="Arial" w:hAnsi="Arial" w:cs="Arial"/>
          <w:color w:val="auto"/>
        </w:rPr>
        <w:t>.</w:t>
      </w:r>
      <w:r w:rsidR="006D1D8D">
        <w:rPr>
          <w:rFonts w:ascii="Arial" w:hAnsi="Arial" w:cs="Arial"/>
          <w:color w:val="auto"/>
        </w:rPr>
        <w:t xml:space="preserve">  The rationale for this is included in Appendix 1</w:t>
      </w:r>
      <w:r w:rsidR="004B5536">
        <w:rPr>
          <w:rFonts w:ascii="Arial" w:hAnsi="Arial" w:cs="Arial"/>
          <w:color w:val="auto"/>
        </w:rPr>
        <w:t xml:space="preserve"> of this care home report</w:t>
      </w:r>
      <w:r w:rsidR="00B22723" w:rsidRPr="00FD6C66">
        <w:rPr>
          <w:rFonts w:ascii="Arial" w:hAnsi="Arial" w:cs="Arial"/>
          <w:color w:val="auto"/>
        </w:rPr>
        <w:t xml:space="preserve">. </w:t>
      </w:r>
      <w:r w:rsidR="00491F79" w:rsidRPr="00FD6C66">
        <w:rPr>
          <w:rFonts w:ascii="Arial" w:hAnsi="Arial" w:cs="Arial"/>
          <w:color w:val="auto"/>
        </w:rPr>
        <w:t>T</w:t>
      </w:r>
      <w:r w:rsidR="00995855" w:rsidRPr="00FD6C66">
        <w:rPr>
          <w:rFonts w:ascii="Arial" w:hAnsi="Arial" w:cs="Arial"/>
          <w:color w:val="auto"/>
        </w:rPr>
        <w:t>he principal remaining sensitivity is around the capital value per occupied bed</w:t>
      </w:r>
      <w:r w:rsidR="005A30E7" w:rsidRPr="00FD6C66">
        <w:rPr>
          <w:rFonts w:ascii="Arial" w:hAnsi="Arial" w:cs="Arial"/>
          <w:color w:val="auto"/>
        </w:rPr>
        <w:t>.</w:t>
      </w:r>
      <w:r w:rsidR="00995855" w:rsidRPr="00995855">
        <w:rPr>
          <w:rFonts w:ascii="Arial" w:hAnsi="Arial" w:cs="Arial"/>
          <w:color w:val="auto"/>
        </w:rPr>
        <w:t xml:space="preserve"> </w:t>
      </w:r>
    </w:p>
    <w:bookmarkEnd w:id="28"/>
    <w:p w14:paraId="5601CDD5" w14:textId="77777777" w:rsidR="005C1D9F" w:rsidRPr="00995855" w:rsidRDefault="005C1D9F" w:rsidP="00995855">
      <w:pPr>
        <w:spacing w:after="0" w:line="280" w:lineRule="exact"/>
        <w:jc w:val="both"/>
        <w:rPr>
          <w:rFonts w:ascii="Arial" w:hAnsi="Arial" w:cs="Arial"/>
        </w:rPr>
      </w:pPr>
    </w:p>
    <w:p w14:paraId="69113815" w14:textId="77777777" w:rsidR="00995855" w:rsidRPr="008534E0"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29" w:name="_Toc114240162"/>
      <w:r w:rsidRPr="008534E0">
        <w:rPr>
          <w:rFonts w:ascii="Arial" w:eastAsia="Times New Roman" w:hAnsi="Arial" w:cs="Arial"/>
          <w:color w:val="auto"/>
          <w:lang w:eastAsia="en-GB"/>
        </w:rPr>
        <w:t>2.11.1 Sensitivity to capital cost per occupied bed</w:t>
      </w:r>
      <w:bookmarkEnd w:id="29"/>
    </w:p>
    <w:p w14:paraId="54A16BC6" w14:textId="77777777" w:rsidR="00995855" w:rsidRPr="00995855" w:rsidRDefault="00995855" w:rsidP="00995855">
      <w:pPr>
        <w:spacing w:after="0" w:line="280" w:lineRule="exact"/>
        <w:jc w:val="both"/>
        <w:rPr>
          <w:rFonts w:ascii="Arial" w:hAnsi="Arial" w:cs="Arial"/>
        </w:rPr>
      </w:pPr>
    </w:p>
    <w:p w14:paraId="4FB06538" w14:textId="3190B93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Actual values of capital costs per occupied bed are calculated from the toolkits as freehold valuation divided by number of residents. In some cases, particularly in affluent areas where developers have targeted the private pay market in recent years, land and build costs for high specification homes may be considerably greater than the council is reasonably willing to pay for a standard physical environment for council placements. For the purpose of determining a  cost of care, therefore, councils may reasonably wish to supersede the freehold valuations per occupied bed reported in toolkits with a suitable benchmark value.</w:t>
      </w:r>
    </w:p>
    <w:p w14:paraId="3D27EA76" w14:textId="77777777" w:rsidR="00995855" w:rsidRPr="00995855" w:rsidRDefault="00995855" w:rsidP="00995855">
      <w:pPr>
        <w:spacing w:after="0" w:line="280" w:lineRule="exact"/>
        <w:jc w:val="both"/>
        <w:rPr>
          <w:rFonts w:ascii="Arial" w:hAnsi="Arial" w:cs="Arial"/>
          <w:color w:val="auto"/>
        </w:rPr>
      </w:pPr>
    </w:p>
    <w:p w14:paraId="3F5A97E5"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LaingBuisson has addressed this issue in its </w:t>
      </w:r>
      <w:r w:rsidRPr="00995855">
        <w:rPr>
          <w:rFonts w:ascii="Arial" w:hAnsi="Arial" w:cs="Arial"/>
          <w:i/>
          <w:iCs/>
          <w:color w:val="auto"/>
        </w:rPr>
        <w:t>Care Cost Benchmarks</w:t>
      </w:r>
      <w:r w:rsidRPr="00995855">
        <w:rPr>
          <w:rFonts w:ascii="Arial" w:hAnsi="Arial" w:cs="Arial"/>
          <w:color w:val="auto"/>
        </w:rPr>
        <w:t xml:space="preserve"> model by gathering evidence on the cost of developing a new-build care home constructed to a standard specification in an area of moderate land costs. The projected (national) land and build cost in April 2022 is calculated at £110,000 per registered bed (equivalent to £122,000 per occupied bed at 90% occupancy). This is viewed as the </w:t>
      </w:r>
      <w:r w:rsidRPr="00995855">
        <w:rPr>
          <w:rFonts w:ascii="Arial" w:hAnsi="Arial" w:cs="Arial"/>
          <w:b/>
          <w:bCs/>
          <w:color w:val="auto"/>
        </w:rPr>
        <w:t>ceiling</w:t>
      </w:r>
      <w:r w:rsidRPr="00995855">
        <w:rPr>
          <w:rFonts w:ascii="Arial" w:hAnsi="Arial" w:cs="Arial"/>
          <w:color w:val="auto"/>
        </w:rPr>
        <w:t xml:space="preserve"> asset value that councils may wish to fund in order to incentivise the development of new capacity. The </w:t>
      </w:r>
      <w:r w:rsidRPr="00995855">
        <w:rPr>
          <w:rFonts w:ascii="Arial" w:hAnsi="Arial" w:cs="Arial"/>
          <w:b/>
          <w:bCs/>
          <w:color w:val="auto"/>
        </w:rPr>
        <w:t>floor</w:t>
      </w:r>
      <w:r w:rsidRPr="00995855">
        <w:rPr>
          <w:rFonts w:ascii="Arial" w:hAnsi="Arial" w:cs="Arial"/>
          <w:color w:val="auto"/>
        </w:rPr>
        <w:t xml:space="preserve"> asset value, according to the </w:t>
      </w:r>
      <w:r w:rsidRPr="00995855">
        <w:rPr>
          <w:rFonts w:ascii="Arial" w:hAnsi="Arial" w:cs="Arial"/>
          <w:i/>
          <w:iCs/>
          <w:color w:val="auto"/>
        </w:rPr>
        <w:t>Care Cost Benchmarks</w:t>
      </w:r>
      <w:r w:rsidRPr="00995855">
        <w:rPr>
          <w:rFonts w:ascii="Arial" w:hAnsi="Arial" w:cs="Arial"/>
          <w:color w:val="auto"/>
        </w:rPr>
        <w:t xml:space="preserve"> model, is approximately £30,000 per bed, representing converted care home stock on the borderline of registrable quality. Assuming an even spread of stock between the floor and ceiling, in line with the national balance between converted and new build stock, the average capital value is about £70,000 per registered bed (£78,000 per occupied bed) nationally. This is a benchmark that may be suitable for a council which seeks to support existing capacity sustainably, but not incentivise new care home capacity.</w:t>
      </w:r>
    </w:p>
    <w:p w14:paraId="1181FCAB" w14:textId="77777777" w:rsidR="00995855" w:rsidRPr="00995855" w:rsidRDefault="00995855" w:rsidP="00995855">
      <w:pPr>
        <w:spacing w:after="0" w:line="280" w:lineRule="exact"/>
        <w:jc w:val="both"/>
        <w:rPr>
          <w:rFonts w:ascii="Arial" w:hAnsi="Arial" w:cs="Arial"/>
          <w:color w:val="auto"/>
        </w:rPr>
      </w:pPr>
    </w:p>
    <w:p w14:paraId="3D2332D4" w14:textId="3FC9D424" w:rsidR="005C1D9F" w:rsidRPr="006D4E3D" w:rsidRDefault="008E21F0" w:rsidP="00995855">
      <w:pPr>
        <w:spacing w:after="0" w:line="280" w:lineRule="exact"/>
        <w:jc w:val="both"/>
        <w:rPr>
          <w:rFonts w:ascii="Arial" w:hAnsi="Arial" w:cs="Arial"/>
          <w:color w:val="auto"/>
        </w:rPr>
      </w:pPr>
      <w:r>
        <w:rPr>
          <w:rFonts w:ascii="Arial" w:hAnsi="Arial" w:cs="Arial"/>
          <w:color w:val="auto"/>
        </w:rPr>
        <w:t xml:space="preserve">LaingBuisson’s </w:t>
      </w:r>
      <w:r w:rsidR="00995855" w:rsidRPr="00995855">
        <w:rPr>
          <w:rFonts w:ascii="Arial" w:hAnsi="Arial" w:cs="Arial"/>
          <w:color w:val="auto"/>
        </w:rPr>
        <w:t xml:space="preserve">recommendation is that, for the purposes of calculating a cost of care for council supported residents, the median freehold valuation per bed derived from toolkit submissions should be capped at a maximum of £110,000, being the estimated build+land cost of developing a new care home to a standard mid-market specification, and that freehold </w:t>
      </w:r>
      <w:r w:rsidR="00995855" w:rsidRPr="00AB330D">
        <w:rPr>
          <w:rFonts w:ascii="Arial" w:hAnsi="Arial" w:cs="Arial"/>
          <w:color w:val="auto"/>
        </w:rPr>
        <w:t xml:space="preserve">valuation per occupied bed should be capped at £122,000, </w:t>
      </w:r>
      <w:r w:rsidRPr="00AB330D">
        <w:rPr>
          <w:rFonts w:ascii="Arial" w:hAnsi="Arial" w:cs="Arial"/>
          <w:color w:val="auto"/>
        </w:rPr>
        <w:t>assuming 90% occupancy. This cap applies in Oxfordshire, where the median freehold valuation per bed from toolkit submissions was £136,679, see Table 4.</w:t>
      </w:r>
    </w:p>
    <w:p w14:paraId="65D5927E" w14:textId="77777777" w:rsidR="005C1D9F" w:rsidRPr="00995855" w:rsidRDefault="005C1D9F" w:rsidP="00995855">
      <w:pPr>
        <w:spacing w:after="0" w:line="280" w:lineRule="exact"/>
        <w:jc w:val="both"/>
        <w:rPr>
          <w:rFonts w:ascii="Arial" w:hAnsi="Arial" w:cs="Arial"/>
        </w:rPr>
      </w:pPr>
    </w:p>
    <w:p w14:paraId="7EC27068" w14:textId="77777777" w:rsidR="00995855" w:rsidRPr="0084182A"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30" w:name="_Toc114240163"/>
      <w:r w:rsidRPr="0084182A">
        <w:rPr>
          <w:rFonts w:ascii="Arial" w:eastAsia="Times New Roman" w:hAnsi="Arial" w:cs="Arial"/>
          <w:color w:val="auto"/>
          <w:lang w:eastAsia="en-GB"/>
        </w:rPr>
        <w:t>2.11.2 Sensitivity to occupancy rates</w:t>
      </w:r>
      <w:bookmarkEnd w:id="30"/>
    </w:p>
    <w:p w14:paraId="045F4A1C" w14:textId="77777777" w:rsidR="00995855" w:rsidRPr="00995855" w:rsidRDefault="00995855" w:rsidP="00995855">
      <w:pPr>
        <w:spacing w:after="0" w:line="280" w:lineRule="exact"/>
        <w:jc w:val="both"/>
        <w:rPr>
          <w:rFonts w:ascii="Arial" w:hAnsi="Arial" w:cs="Arial"/>
        </w:rPr>
      </w:pPr>
    </w:p>
    <w:p w14:paraId="56AABF41" w14:textId="77777777" w:rsidR="00995855" w:rsidRPr="00995855" w:rsidRDefault="00995855" w:rsidP="00995855">
      <w:pPr>
        <w:rPr>
          <w:rFonts w:ascii="Arial" w:hAnsi="Arial" w:cs="Arial"/>
          <w:color w:val="auto"/>
        </w:rPr>
      </w:pPr>
      <w:r w:rsidRPr="00995855">
        <w:rPr>
          <w:rFonts w:ascii="Arial" w:hAnsi="Arial" w:cs="Arial"/>
          <w:color w:val="auto"/>
        </w:rPr>
        <w:t xml:space="preserve">Care home occupancy rates in many council areas are still recovering from excess deaths during the Covid pandemic, and possibly from a dampening of demand as a result of negative experiences during Covid. There is a case, in principle, for adjusting the median costs in Table 4 (which are based on 2021/22 occupancy levels) to take account of possibly higher average occupancy rates by April 2022, or to adjust costs to an ‘efficient’ benchmark, which might be in the region of 90%. </w:t>
      </w:r>
    </w:p>
    <w:p w14:paraId="5E3F67E9" w14:textId="0BB14A53" w:rsidR="00D17D29" w:rsidRDefault="00995855" w:rsidP="00D17D29">
      <w:pPr>
        <w:spacing w:after="0" w:line="280" w:lineRule="exact"/>
        <w:jc w:val="both"/>
        <w:rPr>
          <w:rFonts w:ascii="Arial" w:hAnsi="Arial" w:cs="Arial"/>
          <w:color w:val="auto"/>
        </w:rPr>
      </w:pPr>
      <w:r w:rsidRPr="00995855">
        <w:rPr>
          <w:rFonts w:ascii="Arial" w:hAnsi="Arial" w:cs="Arial"/>
          <w:color w:val="auto"/>
        </w:rPr>
        <w:t xml:space="preserve">While the council may take occupancy rates into consideration when looking at market sustainability and setting fee rates for 2022/23 and beyond, </w:t>
      </w:r>
      <w:r w:rsidR="003B4981">
        <w:rPr>
          <w:rFonts w:ascii="Arial" w:hAnsi="Arial" w:cs="Arial"/>
          <w:color w:val="auto"/>
        </w:rPr>
        <w:t>LaingBuisson</w:t>
      </w:r>
      <w:r w:rsidR="003B4981" w:rsidRPr="00995855">
        <w:rPr>
          <w:rFonts w:ascii="Arial" w:hAnsi="Arial" w:cs="Arial"/>
          <w:color w:val="auto"/>
        </w:rPr>
        <w:t xml:space="preserve"> </w:t>
      </w:r>
      <w:r w:rsidRPr="00995855">
        <w:rPr>
          <w:rFonts w:ascii="Arial" w:hAnsi="Arial" w:cs="Arial"/>
          <w:color w:val="auto"/>
        </w:rPr>
        <w:t xml:space="preserve">do not recommend making any occupancy-based adjustments to the median costs set out in Table 4 for the purposes of </w:t>
      </w:r>
      <w:r w:rsidR="0029380F">
        <w:rPr>
          <w:rFonts w:ascii="Arial" w:hAnsi="Arial" w:cs="Arial"/>
          <w:color w:val="auto"/>
        </w:rPr>
        <w:t>CoC</w:t>
      </w:r>
      <w:r w:rsidR="00EF3CA1">
        <w:rPr>
          <w:rFonts w:ascii="Arial" w:hAnsi="Arial" w:cs="Arial"/>
          <w:color w:val="auto"/>
        </w:rPr>
        <w:t>. Therefore, t</w:t>
      </w:r>
      <w:r w:rsidR="0029380F" w:rsidRPr="0029380F">
        <w:rPr>
          <w:rFonts w:ascii="Arial" w:hAnsi="Arial" w:cs="Arial"/>
          <w:color w:val="auto"/>
        </w:rPr>
        <w:t>he council may take occupancy rates into account although it has been noted that there are arguments no to do so</w:t>
      </w:r>
      <w:r w:rsidR="00EF3CA1">
        <w:rPr>
          <w:rFonts w:ascii="Arial" w:hAnsi="Arial" w:cs="Arial"/>
          <w:color w:val="auto"/>
        </w:rPr>
        <w:t>,</w:t>
      </w:r>
      <w:r w:rsidR="0029380F" w:rsidRPr="0029380F">
        <w:rPr>
          <w:rFonts w:ascii="Arial" w:hAnsi="Arial" w:cs="Arial"/>
          <w:color w:val="auto"/>
        </w:rPr>
        <w:t xml:space="preserve"> </w:t>
      </w:r>
      <w:r w:rsidR="00EF3CA1" w:rsidRPr="00EF3CA1">
        <w:rPr>
          <w:rFonts w:ascii="Arial" w:hAnsi="Arial" w:cs="Arial"/>
          <w:color w:val="auto"/>
        </w:rPr>
        <w:t>for the following reasons:</w:t>
      </w:r>
    </w:p>
    <w:p w14:paraId="3CCBCC11" w14:textId="77777777" w:rsidR="00D17D29" w:rsidRPr="00EF3CA1" w:rsidRDefault="00D17D29" w:rsidP="00EF3CA1">
      <w:pPr>
        <w:spacing w:after="0" w:line="280" w:lineRule="exact"/>
        <w:jc w:val="both"/>
        <w:rPr>
          <w:rFonts w:ascii="Arial" w:hAnsi="Arial" w:cs="Arial"/>
          <w:color w:val="auto"/>
        </w:rPr>
      </w:pPr>
    </w:p>
    <w:p w14:paraId="57EBBB35" w14:textId="77777777" w:rsidR="00995855" w:rsidRPr="00B31F72" w:rsidRDefault="00995855" w:rsidP="00B31F72">
      <w:pPr>
        <w:pStyle w:val="ListParagraph"/>
        <w:numPr>
          <w:ilvl w:val="0"/>
          <w:numId w:val="1"/>
        </w:numPr>
        <w:rPr>
          <w:rFonts w:ascii="Arial" w:hAnsi="Arial" w:cs="Arial"/>
          <w:color w:val="auto"/>
        </w:rPr>
      </w:pPr>
      <w:r w:rsidRPr="00B31F72">
        <w:rPr>
          <w:rFonts w:ascii="Arial" w:hAnsi="Arial" w:cs="Arial"/>
          <w:color w:val="auto"/>
        </w:rPr>
        <w:t>Based on validated submissions to date, occupancy rates in most council areas are not substantially different from national, sector wide pre-Covid averages.</w:t>
      </w:r>
    </w:p>
    <w:p w14:paraId="0979BDD8" w14:textId="77777777" w:rsidR="00995855" w:rsidRPr="00EF3CA1" w:rsidRDefault="00995855" w:rsidP="00995855">
      <w:pPr>
        <w:suppressAutoHyphens/>
        <w:spacing w:after="0" w:line="280" w:lineRule="exact"/>
        <w:ind w:left="720"/>
        <w:jc w:val="both"/>
        <w:rPr>
          <w:rFonts w:ascii="Arial" w:eastAsia="Times New Roman" w:hAnsi="Arial" w:cs="Arial"/>
          <w:color w:val="auto"/>
          <w:lang w:eastAsia="en-GB"/>
        </w:rPr>
      </w:pPr>
    </w:p>
    <w:p w14:paraId="1E74B5ED" w14:textId="77777777" w:rsidR="00995855" w:rsidRPr="00B31F72"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B31F72">
        <w:rPr>
          <w:rFonts w:ascii="Arial" w:eastAsia="Times New Roman" w:hAnsi="Arial" w:cs="Arial"/>
          <w:color w:val="auto"/>
          <w:lang w:eastAsia="en-GB"/>
        </w:rPr>
        <w:t>Occupancy adjustments would need to make assumptions about fixed and variable costs of care homes, which may be contentious; and</w:t>
      </w:r>
    </w:p>
    <w:p w14:paraId="7E74103F" w14:textId="77777777" w:rsidR="00995855" w:rsidRPr="00B31F72" w:rsidRDefault="00995855" w:rsidP="00995855">
      <w:pPr>
        <w:suppressAutoHyphens/>
        <w:spacing w:after="0" w:line="280" w:lineRule="exact"/>
        <w:ind w:left="720"/>
        <w:jc w:val="both"/>
        <w:rPr>
          <w:rFonts w:ascii="Arial" w:eastAsia="Times New Roman" w:hAnsi="Arial" w:cs="Arial"/>
          <w:color w:val="auto"/>
          <w:lang w:eastAsia="en-GB"/>
        </w:rPr>
      </w:pPr>
    </w:p>
    <w:p w14:paraId="45A04835" w14:textId="77777777" w:rsidR="00995855" w:rsidRPr="00B31F72" w:rsidRDefault="00995855" w:rsidP="00EC7E75">
      <w:pPr>
        <w:numPr>
          <w:ilvl w:val="0"/>
          <w:numId w:val="1"/>
        </w:numPr>
        <w:suppressAutoHyphens/>
        <w:spacing w:after="0" w:line="280" w:lineRule="exact"/>
        <w:jc w:val="both"/>
        <w:rPr>
          <w:rFonts w:ascii="Arial" w:eastAsia="Times New Roman" w:hAnsi="Arial" w:cs="Arial"/>
          <w:color w:val="auto"/>
          <w:lang w:eastAsia="en-GB"/>
        </w:rPr>
      </w:pPr>
      <w:r w:rsidRPr="00B31F72">
        <w:rPr>
          <w:rFonts w:ascii="Arial" w:eastAsia="Times New Roman" w:hAnsi="Arial" w:cs="Arial"/>
          <w:color w:val="auto"/>
          <w:lang w:eastAsia="en-GB"/>
        </w:rPr>
        <w:t>Any adjustment introduces an additional layer of potential contention, and begs the question: why not consider other adjustments?</w:t>
      </w:r>
    </w:p>
    <w:p w14:paraId="30FEF4E4" w14:textId="77777777" w:rsidR="00995855" w:rsidRPr="00995855" w:rsidRDefault="00995855" w:rsidP="00995855">
      <w:pPr>
        <w:spacing w:line="280" w:lineRule="exact"/>
        <w:ind w:left="360"/>
        <w:jc w:val="both"/>
        <w:rPr>
          <w:rFonts w:ascii="Arial" w:hAnsi="Arial" w:cs="Arial"/>
          <w:color w:val="auto"/>
        </w:rPr>
      </w:pPr>
    </w:p>
    <w:p w14:paraId="4005AE49" w14:textId="75212142"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For illustration, however, the potential impact of adjusting calculated median costs, to reflect a benchmark occupancy rate of 90%, is set out in </w:t>
      </w:r>
      <w:r w:rsidRPr="008E21F0">
        <w:rPr>
          <w:rFonts w:ascii="Arial" w:hAnsi="Arial" w:cs="Arial"/>
          <w:color w:val="auto"/>
        </w:rPr>
        <w:t>Table 5</w:t>
      </w:r>
      <w:r w:rsidR="00D35BBC">
        <w:rPr>
          <w:rFonts w:ascii="Arial" w:hAnsi="Arial" w:cs="Arial"/>
          <w:color w:val="auto"/>
        </w:rPr>
        <w:t>,</w:t>
      </w:r>
      <w:r w:rsidR="00D35BBC" w:rsidRPr="00D35BBC">
        <w:t xml:space="preserve"> </w:t>
      </w:r>
      <w:r w:rsidR="00D35BBC" w:rsidRPr="00D35BBC">
        <w:rPr>
          <w:rFonts w:ascii="Arial" w:hAnsi="Arial" w:cs="Arial"/>
          <w:color w:val="auto"/>
        </w:rPr>
        <w:t>though it requires an assumption on fixed and variable costs</w:t>
      </w:r>
      <w:r w:rsidRPr="008E21F0">
        <w:rPr>
          <w:rFonts w:ascii="Arial" w:hAnsi="Arial" w:cs="Arial"/>
          <w:color w:val="auto"/>
        </w:rPr>
        <w:t>.</w:t>
      </w:r>
      <w:r w:rsidRPr="00995855">
        <w:rPr>
          <w:rFonts w:ascii="Arial" w:hAnsi="Arial" w:cs="Arial"/>
          <w:color w:val="auto"/>
        </w:rPr>
        <w:t xml:space="preserve"> It requires an assumption on fixed and variable costs. For illustration </w:t>
      </w:r>
      <w:r w:rsidR="005D259C">
        <w:rPr>
          <w:rFonts w:ascii="Arial" w:hAnsi="Arial" w:cs="Arial"/>
          <w:color w:val="auto"/>
        </w:rPr>
        <w:t>LaingBuisson</w:t>
      </w:r>
      <w:r w:rsidRPr="00995855">
        <w:rPr>
          <w:rFonts w:ascii="Arial" w:hAnsi="Arial" w:cs="Arial"/>
          <w:color w:val="auto"/>
        </w:rPr>
        <w:t xml:space="preserve"> have arbitrarily assumed that </w:t>
      </w:r>
      <w:r w:rsidR="00E2728E">
        <w:rPr>
          <w:rFonts w:ascii="Arial" w:hAnsi="Arial" w:cs="Arial"/>
          <w:color w:val="auto"/>
        </w:rPr>
        <w:t>7</w:t>
      </w:r>
      <w:r w:rsidR="00D35BBC">
        <w:rPr>
          <w:rFonts w:ascii="Arial" w:hAnsi="Arial" w:cs="Arial"/>
          <w:color w:val="auto"/>
        </w:rPr>
        <w:t>0</w:t>
      </w:r>
      <w:r w:rsidRPr="00995855">
        <w:rPr>
          <w:rFonts w:ascii="Arial" w:hAnsi="Arial" w:cs="Arial"/>
          <w:color w:val="auto"/>
        </w:rPr>
        <w:t xml:space="preserve">% of average care home operating costs would remain fixed as occupancy changed within the observed rate and the selected benchmark, and that </w:t>
      </w:r>
      <w:r w:rsidR="00D35BBC">
        <w:rPr>
          <w:rFonts w:ascii="Arial" w:hAnsi="Arial" w:cs="Arial"/>
          <w:color w:val="auto"/>
        </w:rPr>
        <w:t>30</w:t>
      </w:r>
      <w:r w:rsidRPr="00995855">
        <w:rPr>
          <w:rFonts w:ascii="Arial" w:hAnsi="Arial" w:cs="Arial"/>
          <w:color w:val="auto"/>
        </w:rPr>
        <w:t xml:space="preserve">% would be variable, varying pro rata with occupancy, </w:t>
      </w:r>
      <w:r w:rsidR="0084182A" w:rsidRPr="00995855">
        <w:rPr>
          <w:rFonts w:ascii="Arial" w:hAnsi="Arial" w:cs="Arial"/>
          <w:color w:val="auto"/>
        </w:rPr>
        <w:t>the</w:t>
      </w:r>
      <w:r w:rsidRPr="00995855">
        <w:rPr>
          <w:rFonts w:ascii="Arial" w:hAnsi="Arial" w:cs="Arial"/>
          <w:color w:val="auto"/>
        </w:rPr>
        <w:t xml:space="preserve"> resulting counterfactual differences in median total costs are illustrated in </w:t>
      </w:r>
      <w:r w:rsidRPr="008E21F0">
        <w:rPr>
          <w:rFonts w:ascii="Arial" w:hAnsi="Arial" w:cs="Arial"/>
          <w:color w:val="auto"/>
        </w:rPr>
        <w:t>Table 5</w:t>
      </w:r>
      <w:r w:rsidRPr="00995855">
        <w:rPr>
          <w:rFonts w:ascii="Arial" w:hAnsi="Arial" w:cs="Arial"/>
          <w:color w:val="auto"/>
        </w:rPr>
        <w:t xml:space="preserve">. If any occupancy adjustment is proposed in subsequent market sustainability work, </w:t>
      </w:r>
      <w:r w:rsidR="006D1D8D">
        <w:rPr>
          <w:rFonts w:ascii="Arial" w:hAnsi="Arial" w:cs="Arial"/>
          <w:color w:val="auto"/>
        </w:rPr>
        <w:t>LaingBuisson</w:t>
      </w:r>
      <w:r w:rsidRPr="00995855">
        <w:rPr>
          <w:rFonts w:ascii="Arial" w:hAnsi="Arial" w:cs="Arial"/>
          <w:color w:val="auto"/>
        </w:rPr>
        <w:t xml:space="preserve"> recommend the council consult with providers regarding the appropriate method of adjustment.</w:t>
      </w:r>
    </w:p>
    <w:p w14:paraId="05AAB36B" w14:textId="455F1F0F" w:rsidR="00D35BBC" w:rsidRDefault="00D35BBC" w:rsidP="00D35BBC">
      <w:pPr>
        <w:spacing w:line="280" w:lineRule="exact"/>
        <w:jc w:val="both"/>
        <w:rPr>
          <w:rFonts w:ascii="Arial" w:hAnsi="Arial" w:cs="Arial"/>
          <w:b/>
          <w:bCs/>
          <w:color w:val="auto"/>
          <w:sz w:val="20"/>
          <w:szCs w:val="20"/>
        </w:rPr>
      </w:pPr>
    </w:p>
    <w:p w14:paraId="6D376E7E" w14:textId="62CCDA30" w:rsidR="0091122E" w:rsidRDefault="0091122E" w:rsidP="00D35BBC">
      <w:pPr>
        <w:spacing w:line="280" w:lineRule="exact"/>
        <w:jc w:val="both"/>
        <w:rPr>
          <w:rFonts w:ascii="Arial" w:hAnsi="Arial" w:cs="Arial"/>
          <w:b/>
          <w:bCs/>
          <w:color w:val="auto"/>
          <w:sz w:val="20"/>
          <w:szCs w:val="20"/>
        </w:rPr>
      </w:pPr>
    </w:p>
    <w:p w14:paraId="67DB5CBF" w14:textId="77777777" w:rsidR="0091122E" w:rsidRDefault="0091122E" w:rsidP="00D35BBC">
      <w:pPr>
        <w:spacing w:line="280" w:lineRule="exact"/>
        <w:jc w:val="both"/>
        <w:rPr>
          <w:rFonts w:ascii="Arial" w:hAnsi="Arial" w:cs="Arial"/>
          <w:b/>
          <w:bCs/>
          <w:color w:val="auto"/>
          <w:sz w:val="20"/>
          <w:szCs w:val="20"/>
        </w:rPr>
      </w:pPr>
    </w:p>
    <w:p w14:paraId="61F1CAEF" w14:textId="0354FC2B" w:rsidR="008534E0" w:rsidRPr="0091122E" w:rsidRDefault="00D35BBC" w:rsidP="0091122E">
      <w:pPr>
        <w:spacing w:line="240" w:lineRule="auto"/>
        <w:jc w:val="both"/>
        <w:rPr>
          <w:rFonts w:ascii="Arial" w:hAnsi="Arial" w:cs="Arial"/>
          <w:color w:val="auto"/>
          <w:sz w:val="18"/>
          <w:szCs w:val="18"/>
        </w:rPr>
      </w:pPr>
      <w:r w:rsidRPr="0091122E">
        <w:rPr>
          <w:rFonts w:ascii="Arial" w:hAnsi="Arial" w:cs="Arial"/>
          <w:color w:val="auto"/>
          <w:sz w:val="20"/>
          <w:szCs w:val="20"/>
        </w:rPr>
        <w:lastRenderedPageBreak/>
        <w:t>Table 5 Illustrative impact of superseding the median toolkit occupancy rate with a ‘counterfactual’ benchmark occupancy rate of 90% , assuming that 30% of operating costs are fully variable and 70% are fixed within the range bounded by the benchmark occupancy and the toolkit median occupancy</w:t>
      </w:r>
      <w:r w:rsidR="006C206C" w:rsidRPr="0091122E">
        <w:rPr>
          <w:rFonts w:ascii="Arial" w:hAnsi="Arial" w:cs="Arial"/>
          <w:color w:val="auto"/>
          <w:sz w:val="18"/>
          <w:szCs w:val="18"/>
        </w:rPr>
        <w:t>.</w:t>
      </w:r>
    </w:p>
    <w:tbl>
      <w:tblPr>
        <w:tblStyle w:val="TableGrid5"/>
        <w:tblW w:w="9606" w:type="dxa"/>
        <w:jc w:val="center"/>
        <w:tblLook w:val="04A0" w:firstRow="1" w:lastRow="0" w:firstColumn="1" w:lastColumn="0" w:noHBand="0" w:noVBand="1"/>
      </w:tblPr>
      <w:tblGrid>
        <w:gridCol w:w="3848"/>
        <w:gridCol w:w="1199"/>
        <w:gridCol w:w="1579"/>
        <w:gridCol w:w="1420"/>
        <w:gridCol w:w="1560"/>
      </w:tblGrid>
      <w:tr w:rsidR="00DD0F05" w:rsidRPr="00DD0F05" w14:paraId="24D1B520" w14:textId="77777777" w:rsidTr="00FA2DDA">
        <w:trPr>
          <w:trHeight w:val="975"/>
          <w:jc w:val="center"/>
        </w:trPr>
        <w:tc>
          <w:tcPr>
            <w:tcW w:w="3848" w:type="dxa"/>
            <w:noWrap/>
            <w:hideMark/>
          </w:tcPr>
          <w:p w14:paraId="5D3685D5" w14:textId="77777777" w:rsidR="00DD0F05" w:rsidRPr="00DD0F05" w:rsidRDefault="00DD0F05" w:rsidP="00FA2DDA">
            <w:pPr>
              <w:spacing w:after="0" w:line="240" w:lineRule="auto"/>
              <w:rPr>
                <w:rFonts w:ascii="Arial" w:hAnsi="Arial" w:cs="Arial"/>
                <w:color w:val="auto"/>
                <w:sz w:val="20"/>
                <w:szCs w:val="20"/>
              </w:rPr>
            </w:pPr>
            <w:bookmarkStart w:id="31" w:name="_Hlk116397140"/>
            <w:r w:rsidRPr="00DD0F05">
              <w:rPr>
                <w:rFonts w:ascii="Arial" w:hAnsi="Arial" w:cs="Arial"/>
                <w:color w:val="auto"/>
                <w:sz w:val="20"/>
                <w:szCs w:val="20"/>
              </w:rPr>
              <w:t> </w:t>
            </w:r>
          </w:p>
        </w:tc>
        <w:tc>
          <w:tcPr>
            <w:tcW w:w="1199" w:type="dxa"/>
            <w:hideMark/>
          </w:tcPr>
          <w:p w14:paraId="0FB9121A"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Non-Nursing</w:t>
            </w:r>
          </w:p>
        </w:tc>
        <w:tc>
          <w:tcPr>
            <w:tcW w:w="1579" w:type="dxa"/>
            <w:hideMark/>
          </w:tcPr>
          <w:p w14:paraId="49F81B21"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Non-Nursing with enhancement</w:t>
            </w:r>
          </w:p>
        </w:tc>
        <w:tc>
          <w:tcPr>
            <w:tcW w:w="1420" w:type="dxa"/>
            <w:hideMark/>
          </w:tcPr>
          <w:p w14:paraId="4E3596D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Nursing</w:t>
            </w:r>
          </w:p>
        </w:tc>
        <w:tc>
          <w:tcPr>
            <w:tcW w:w="1560" w:type="dxa"/>
            <w:hideMark/>
          </w:tcPr>
          <w:p w14:paraId="78E92F8A"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Nursing with enhancement</w:t>
            </w:r>
          </w:p>
        </w:tc>
      </w:tr>
      <w:tr w:rsidR="00DD0F05" w:rsidRPr="00DD0F05" w14:paraId="4CDC7078" w14:textId="77777777" w:rsidTr="00FA2DDA">
        <w:trPr>
          <w:trHeight w:val="405"/>
          <w:jc w:val="center"/>
        </w:trPr>
        <w:tc>
          <w:tcPr>
            <w:tcW w:w="3848" w:type="dxa"/>
            <w:noWrap/>
            <w:hideMark/>
          </w:tcPr>
          <w:p w14:paraId="1C1E46FF"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Median toolkit total costs (£pw)</w:t>
            </w:r>
          </w:p>
        </w:tc>
        <w:tc>
          <w:tcPr>
            <w:tcW w:w="1199" w:type="dxa"/>
            <w:hideMark/>
          </w:tcPr>
          <w:p w14:paraId="50966B38"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£1,121</w:t>
            </w:r>
          </w:p>
        </w:tc>
        <w:tc>
          <w:tcPr>
            <w:tcW w:w="1579" w:type="dxa"/>
            <w:hideMark/>
          </w:tcPr>
          <w:p w14:paraId="359C213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£1,188</w:t>
            </w:r>
          </w:p>
        </w:tc>
        <w:tc>
          <w:tcPr>
            <w:tcW w:w="1420" w:type="dxa"/>
            <w:hideMark/>
          </w:tcPr>
          <w:p w14:paraId="41B39EC3"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£1,408</w:t>
            </w:r>
          </w:p>
        </w:tc>
        <w:tc>
          <w:tcPr>
            <w:tcW w:w="1560" w:type="dxa"/>
            <w:hideMark/>
          </w:tcPr>
          <w:p w14:paraId="22DE7FE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£1,428</w:t>
            </w:r>
          </w:p>
        </w:tc>
      </w:tr>
      <w:tr w:rsidR="00DD0F05" w:rsidRPr="00DD0F05" w14:paraId="384E9E4C" w14:textId="77777777" w:rsidTr="00FA2DDA">
        <w:trPr>
          <w:trHeight w:val="292"/>
          <w:jc w:val="center"/>
        </w:trPr>
        <w:tc>
          <w:tcPr>
            <w:tcW w:w="3848" w:type="dxa"/>
            <w:hideMark/>
          </w:tcPr>
          <w:p w14:paraId="3FD378FF"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Median toolkit operating costs (£ pw)</w:t>
            </w:r>
          </w:p>
        </w:tc>
        <w:tc>
          <w:tcPr>
            <w:tcW w:w="1199" w:type="dxa"/>
            <w:noWrap/>
            <w:hideMark/>
          </w:tcPr>
          <w:p w14:paraId="2ED59A77"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£934</w:t>
            </w:r>
          </w:p>
        </w:tc>
        <w:tc>
          <w:tcPr>
            <w:tcW w:w="1579" w:type="dxa"/>
            <w:noWrap/>
            <w:hideMark/>
          </w:tcPr>
          <w:p w14:paraId="53939A2D"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£998</w:t>
            </w:r>
          </w:p>
        </w:tc>
        <w:tc>
          <w:tcPr>
            <w:tcW w:w="1420" w:type="dxa"/>
            <w:noWrap/>
            <w:hideMark/>
          </w:tcPr>
          <w:p w14:paraId="608E8D1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£1,207</w:t>
            </w:r>
          </w:p>
        </w:tc>
        <w:tc>
          <w:tcPr>
            <w:tcW w:w="1560" w:type="dxa"/>
            <w:noWrap/>
            <w:hideMark/>
          </w:tcPr>
          <w:p w14:paraId="57C84011"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£1,226</w:t>
            </w:r>
          </w:p>
        </w:tc>
      </w:tr>
      <w:tr w:rsidR="00DD0F05" w:rsidRPr="00DD0F05" w14:paraId="7D1F2EB9" w14:textId="77777777" w:rsidTr="00FA2DDA">
        <w:trPr>
          <w:trHeight w:val="390"/>
          <w:jc w:val="center"/>
        </w:trPr>
        <w:tc>
          <w:tcPr>
            <w:tcW w:w="3848" w:type="dxa"/>
            <w:hideMark/>
          </w:tcPr>
          <w:p w14:paraId="3B1BA672"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 xml:space="preserve">Median toolkit occupancy rate </w:t>
            </w:r>
          </w:p>
        </w:tc>
        <w:tc>
          <w:tcPr>
            <w:tcW w:w="1199" w:type="dxa"/>
            <w:noWrap/>
            <w:hideMark/>
          </w:tcPr>
          <w:p w14:paraId="2ECD3F47"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83.8%</w:t>
            </w:r>
          </w:p>
        </w:tc>
        <w:tc>
          <w:tcPr>
            <w:tcW w:w="1579" w:type="dxa"/>
            <w:noWrap/>
            <w:hideMark/>
          </w:tcPr>
          <w:p w14:paraId="130154CC"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83.8%</w:t>
            </w:r>
          </w:p>
        </w:tc>
        <w:tc>
          <w:tcPr>
            <w:tcW w:w="1420" w:type="dxa"/>
            <w:noWrap/>
            <w:hideMark/>
          </w:tcPr>
          <w:p w14:paraId="351ECCF5"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83.8%</w:t>
            </w:r>
          </w:p>
        </w:tc>
        <w:tc>
          <w:tcPr>
            <w:tcW w:w="1560" w:type="dxa"/>
            <w:noWrap/>
            <w:hideMark/>
          </w:tcPr>
          <w:p w14:paraId="79A9AB57"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83.8%</w:t>
            </w:r>
          </w:p>
        </w:tc>
      </w:tr>
      <w:tr w:rsidR="00DD0F05" w:rsidRPr="00DD0F05" w14:paraId="6F65DDD8" w14:textId="77777777" w:rsidTr="00FA2DDA">
        <w:trPr>
          <w:trHeight w:val="292"/>
          <w:jc w:val="center"/>
        </w:trPr>
        <w:tc>
          <w:tcPr>
            <w:tcW w:w="3848" w:type="dxa"/>
            <w:hideMark/>
          </w:tcPr>
          <w:p w14:paraId="305074CE"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Occupancy benchmark</w:t>
            </w:r>
          </w:p>
        </w:tc>
        <w:tc>
          <w:tcPr>
            <w:tcW w:w="1199" w:type="dxa"/>
            <w:noWrap/>
            <w:hideMark/>
          </w:tcPr>
          <w:p w14:paraId="199DD795"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90%</w:t>
            </w:r>
          </w:p>
        </w:tc>
        <w:tc>
          <w:tcPr>
            <w:tcW w:w="1579" w:type="dxa"/>
            <w:noWrap/>
            <w:hideMark/>
          </w:tcPr>
          <w:p w14:paraId="5764335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90%</w:t>
            </w:r>
          </w:p>
        </w:tc>
        <w:tc>
          <w:tcPr>
            <w:tcW w:w="1420" w:type="dxa"/>
            <w:noWrap/>
            <w:hideMark/>
          </w:tcPr>
          <w:p w14:paraId="3A116924"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90%</w:t>
            </w:r>
          </w:p>
        </w:tc>
        <w:tc>
          <w:tcPr>
            <w:tcW w:w="1560" w:type="dxa"/>
            <w:noWrap/>
            <w:hideMark/>
          </w:tcPr>
          <w:p w14:paraId="48FB6531"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90%</w:t>
            </w:r>
          </w:p>
        </w:tc>
      </w:tr>
      <w:tr w:rsidR="00DD0F05" w:rsidRPr="00DD0F05" w14:paraId="0C310F1E" w14:textId="77777777" w:rsidTr="00FA2DDA">
        <w:trPr>
          <w:trHeight w:val="292"/>
          <w:jc w:val="center"/>
        </w:trPr>
        <w:tc>
          <w:tcPr>
            <w:tcW w:w="3848" w:type="dxa"/>
            <w:hideMark/>
          </w:tcPr>
          <w:p w14:paraId="31FC8787"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Variable costs as % all operating costs</w:t>
            </w:r>
          </w:p>
        </w:tc>
        <w:tc>
          <w:tcPr>
            <w:tcW w:w="1199" w:type="dxa"/>
            <w:noWrap/>
            <w:hideMark/>
          </w:tcPr>
          <w:p w14:paraId="3FE81ACA"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30%</w:t>
            </w:r>
          </w:p>
        </w:tc>
        <w:tc>
          <w:tcPr>
            <w:tcW w:w="1579" w:type="dxa"/>
            <w:noWrap/>
            <w:hideMark/>
          </w:tcPr>
          <w:p w14:paraId="46587B91"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30%</w:t>
            </w:r>
          </w:p>
        </w:tc>
        <w:tc>
          <w:tcPr>
            <w:tcW w:w="1420" w:type="dxa"/>
            <w:noWrap/>
            <w:hideMark/>
          </w:tcPr>
          <w:p w14:paraId="4B894EC1"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30%</w:t>
            </w:r>
          </w:p>
        </w:tc>
        <w:tc>
          <w:tcPr>
            <w:tcW w:w="1560" w:type="dxa"/>
            <w:noWrap/>
            <w:hideMark/>
          </w:tcPr>
          <w:p w14:paraId="6D9F1D39"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30%</w:t>
            </w:r>
          </w:p>
        </w:tc>
      </w:tr>
      <w:tr w:rsidR="00DD0F05" w:rsidRPr="00DD0F05" w14:paraId="3254ECEA" w14:textId="77777777" w:rsidTr="00FA2DDA">
        <w:trPr>
          <w:trHeight w:val="335"/>
          <w:jc w:val="center"/>
        </w:trPr>
        <w:tc>
          <w:tcPr>
            <w:tcW w:w="3848" w:type="dxa"/>
            <w:hideMark/>
          </w:tcPr>
          <w:p w14:paraId="511DABAB" w14:textId="7F8C22CC"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Adjusted operating costs at benchmark occupancy rate (£ pw)</w:t>
            </w:r>
            <w:r w:rsidRPr="00DD0F05">
              <w:rPr>
                <w:rFonts w:ascii="Arial" w:hAnsi="Arial" w:cs="Arial"/>
                <w:color w:val="auto"/>
                <w:sz w:val="20"/>
                <w:szCs w:val="20"/>
                <w:vertAlign w:val="superscript"/>
              </w:rPr>
              <w:t xml:space="preserve"> 1</w:t>
            </w:r>
          </w:p>
        </w:tc>
        <w:tc>
          <w:tcPr>
            <w:tcW w:w="1199" w:type="dxa"/>
            <w:noWrap/>
            <w:hideMark/>
          </w:tcPr>
          <w:p w14:paraId="7A4F9AAE"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£913</w:t>
            </w:r>
          </w:p>
        </w:tc>
        <w:tc>
          <w:tcPr>
            <w:tcW w:w="1579" w:type="dxa"/>
            <w:noWrap/>
            <w:hideMark/>
          </w:tcPr>
          <w:p w14:paraId="5AEE041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£976</w:t>
            </w:r>
          </w:p>
        </w:tc>
        <w:tc>
          <w:tcPr>
            <w:tcW w:w="1420" w:type="dxa"/>
            <w:noWrap/>
            <w:hideMark/>
          </w:tcPr>
          <w:p w14:paraId="781EC794"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£1,180</w:t>
            </w:r>
          </w:p>
        </w:tc>
        <w:tc>
          <w:tcPr>
            <w:tcW w:w="1560" w:type="dxa"/>
            <w:noWrap/>
            <w:hideMark/>
          </w:tcPr>
          <w:p w14:paraId="4FDB7CF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£1,199</w:t>
            </w:r>
          </w:p>
        </w:tc>
      </w:tr>
      <w:tr w:rsidR="00DD0F05" w:rsidRPr="00DD0F05" w14:paraId="62D0BEE0" w14:textId="77777777" w:rsidTr="00FA2DDA">
        <w:trPr>
          <w:trHeight w:val="292"/>
          <w:jc w:val="center"/>
        </w:trPr>
        <w:tc>
          <w:tcPr>
            <w:tcW w:w="3848" w:type="dxa"/>
            <w:hideMark/>
          </w:tcPr>
          <w:p w14:paraId="7F118BC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Adjusted return on operations @ 5% mark-up (£ pw)</w:t>
            </w:r>
          </w:p>
        </w:tc>
        <w:tc>
          <w:tcPr>
            <w:tcW w:w="1199" w:type="dxa"/>
            <w:noWrap/>
            <w:hideMark/>
          </w:tcPr>
          <w:p w14:paraId="5F2CF33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£46</w:t>
            </w:r>
          </w:p>
        </w:tc>
        <w:tc>
          <w:tcPr>
            <w:tcW w:w="1579" w:type="dxa"/>
            <w:noWrap/>
            <w:hideMark/>
          </w:tcPr>
          <w:p w14:paraId="5A7A6FCC"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£49</w:t>
            </w:r>
          </w:p>
        </w:tc>
        <w:tc>
          <w:tcPr>
            <w:tcW w:w="1420" w:type="dxa"/>
            <w:noWrap/>
            <w:hideMark/>
          </w:tcPr>
          <w:p w14:paraId="261FCC83"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£59</w:t>
            </w:r>
          </w:p>
        </w:tc>
        <w:tc>
          <w:tcPr>
            <w:tcW w:w="1560" w:type="dxa"/>
            <w:noWrap/>
            <w:hideMark/>
          </w:tcPr>
          <w:p w14:paraId="2CF58A8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£60</w:t>
            </w:r>
          </w:p>
        </w:tc>
      </w:tr>
      <w:tr w:rsidR="00DD0F05" w:rsidRPr="00DD0F05" w14:paraId="3A485CA8" w14:textId="77777777" w:rsidTr="00FA2DDA">
        <w:trPr>
          <w:trHeight w:val="292"/>
          <w:jc w:val="center"/>
        </w:trPr>
        <w:tc>
          <w:tcPr>
            <w:tcW w:w="3848" w:type="dxa"/>
            <w:hideMark/>
          </w:tcPr>
          <w:p w14:paraId="7D37830B"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Return on capital @ 6% per annum</w:t>
            </w:r>
          </w:p>
        </w:tc>
        <w:tc>
          <w:tcPr>
            <w:tcW w:w="1199" w:type="dxa"/>
            <w:noWrap/>
            <w:hideMark/>
          </w:tcPr>
          <w:p w14:paraId="55AB3DDF"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£140</w:t>
            </w:r>
          </w:p>
        </w:tc>
        <w:tc>
          <w:tcPr>
            <w:tcW w:w="1579" w:type="dxa"/>
            <w:noWrap/>
            <w:hideMark/>
          </w:tcPr>
          <w:p w14:paraId="25717E0A"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£140</w:t>
            </w:r>
          </w:p>
        </w:tc>
        <w:tc>
          <w:tcPr>
            <w:tcW w:w="1420" w:type="dxa"/>
            <w:noWrap/>
            <w:hideMark/>
          </w:tcPr>
          <w:p w14:paraId="0DFCF9F0"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£140</w:t>
            </w:r>
          </w:p>
        </w:tc>
        <w:tc>
          <w:tcPr>
            <w:tcW w:w="1560" w:type="dxa"/>
            <w:noWrap/>
            <w:hideMark/>
          </w:tcPr>
          <w:p w14:paraId="3D0D176C"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£140</w:t>
            </w:r>
          </w:p>
        </w:tc>
      </w:tr>
      <w:tr w:rsidR="00DD0F05" w:rsidRPr="00DD0F05" w14:paraId="255358B4" w14:textId="77777777" w:rsidTr="00FA2DDA">
        <w:trPr>
          <w:trHeight w:val="292"/>
          <w:jc w:val="center"/>
        </w:trPr>
        <w:tc>
          <w:tcPr>
            <w:tcW w:w="3848" w:type="dxa"/>
            <w:hideMark/>
          </w:tcPr>
          <w:p w14:paraId="05176B62"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Median total costs adjusted for occupancy</w:t>
            </w:r>
          </w:p>
        </w:tc>
        <w:tc>
          <w:tcPr>
            <w:tcW w:w="1199" w:type="dxa"/>
            <w:noWrap/>
            <w:hideMark/>
          </w:tcPr>
          <w:p w14:paraId="6E7F339D" w14:textId="77777777" w:rsidR="00DD0F05" w:rsidRPr="00DD0F05" w:rsidRDefault="00DD0F05" w:rsidP="00FA2DDA">
            <w:pPr>
              <w:spacing w:after="0" w:line="240" w:lineRule="auto"/>
              <w:rPr>
                <w:rFonts w:ascii="Arial" w:hAnsi="Arial" w:cs="Arial"/>
                <w:color w:val="auto"/>
                <w:sz w:val="20"/>
                <w:szCs w:val="20"/>
              </w:rPr>
            </w:pPr>
            <w:bookmarkStart w:id="32" w:name="_Hlk116397122"/>
            <w:r w:rsidRPr="00DD0F05">
              <w:rPr>
                <w:rFonts w:ascii="Arial" w:hAnsi="Arial" w:cs="Arial"/>
                <w:color w:val="auto"/>
                <w:sz w:val="20"/>
                <w:szCs w:val="20"/>
              </w:rPr>
              <w:t>£1,099</w:t>
            </w:r>
            <w:bookmarkEnd w:id="32"/>
          </w:p>
        </w:tc>
        <w:tc>
          <w:tcPr>
            <w:tcW w:w="1579" w:type="dxa"/>
            <w:noWrap/>
            <w:hideMark/>
          </w:tcPr>
          <w:p w14:paraId="20EC03E6"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£1,165</w:t>
            </w:r>
          </w:p>
        </w:tc>
        <w:tc>
          <w:tcPr>
            <w:tcW w:w="1420" w:type="dxa"/>
            <w:noWrap/>
            <w:hideMark/>
          </w:tcPr>
          <w:p w14:paraId="195E5DC2"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£1,380</w:t>
            </w:r>
          </w:p>
        </w:tc>
        <w:tc>
          <w:tcPr>
            <w:tcW w:w="1560" w:type="dxa"/>
            <w:noWrap/>
            <w:hideMark/>
          </w:tcPr>
          <w:p w14:paraId="543F8EBA" w14:textId="77777777" w:rsidR="00DD0F05" w:rsidRPr="00DD0F05" w:rsidRDefault="00DD0F05" w:rsidP="00FA2DDA">
            <w:pPr>
              <w:spacing w:after="0" w:line="240" w:lineRule="auto"/>
              <w:rPr>
                <w:rFonts w:ascii="Arial" w:hAnsi="Arial" w:cs="Arial"/>
                <w:color w:val="auto"/>
                <w:sz w:val="20"/>
                <w:szCs w:val="20"/>
              </w:rPr>
            </w:pPr>
            <w:r w:rsidRPr="00DD0F05">
              <w:rPr>
                <w:rFonts w:ascii="Arial" w:hAnsi="Arial" w:cs="Arial"/>
                <w:color w:val="auto"/>
                <w:sz w:val="20"/>
                <w:szCs w:val="20"/>
              </w:rPr>
              <w:t>£1,399</w:t>
            </w:r>
          </w:p>
        </w:tc>
      </w:tr>
      <w:tr w:rsidR="00DD0F05" w:rsidRPr="00DD0F05" w14:paraId="0D152CA8" w14:textId="77777777" w:rsidTr="00FA2DDA">
        <w:trPr>
          <w:trHeight w:val="292"/>
          <w:jc w:val="center"/>
        </w:trPr>
        <w:tc>
          <w:tcPr>
            <w:tcW w:w="3848" w:type="dxa"/>
            <w:shd w:val="clear" w:color="auto" w:fill="D9D9D9" w:themeFill="background1" w:themeFillShade="D9"/>
            <w:hideMark/>
          </w:tcPr>
          <w:p w14:paraId="097EB0C9" w14:textId="77777777" w:rsidR="00DD0F05" w:rsidRPr="00DD0F05" w:rsidRDefault="00DD0F05" w:rsidP="00FA2DDA">
            <w:pPr>
              <w:spacing w:after="0" w:line="240" w:lineRule="auto"/>
              <w:rPr>
                <w:rFonts w:ascii="Arial" w:hAnsi="Arial" w:cs="Arial"/>
                <w:b/>
                <w:bCs/>
                <w:color w:val="auto"/>
                <w:sz w:val="20"/>
                <w:szCs w:val="20"/>
              </w:rPr>
            </w:pPr>
            <w:r w:rsidRPr="00DD0F05">
              <w:rPr>
                <w:rFonts w:ascii="Arial" w:hAnsi="Arial" w:cs="Arial"/>
                <w:b/>
                <w:bCs/>
                <w:color w:val="auto"/>
                <w:sz w:val="20"/>
                <w:szCs w:val="20"/>
              </w:rPr>
              <w:t>Calculated value of the occupancy adjustment  (£ pw)</w:t>
            </w:r>
          </w:p>
        </w:tc>
        <w:tc>
          <w:tcPr>
            <w:tcW w:w="1199" w:type="dxa"/>
            <w:shd w:val="clear" w:color="auto" w:fill="D9D9D9" w:themeFill="background1" w:themeFillShade="D9"/>
            <w:noWrap/>
            <w:hideMark/>
          </w:tcPr>
          <w:p w14:paraId="5C50B5C2" w14:textId="77777777" w:rsidR="00DD0F05" w:rsidRPr="00DD0F05" w:rsidRDefault="00DD0F05" w:rsidP="00FA2DDA">
            <w:pPr>
              <w:spacing w:after="0" w:line="240" w:lineRule="auto"/>
              <w:rPr>
                <w:rFonts w:ascii="Arial" w:hAnsi="Arial" w:cs="Arial"/>
                <w:b/>
                <w:bCs/>
                <w:color w:val="auto"/>
                <w:sz w:val="20"/>
                <w:szCs w:val="20"/>
              </w:rPr>
            </w:pPr>
            <w:r w:rsidRPr="00DD0F05">
              <w:rPr>
                <w:rFonts w:ascii="Arial" w:hAnsi="Arial" w:cs="Arial"/>
                <w:b/>
                <w:bCs/>
                <w:color w:val="auto"/>
                <w:sz w:val="20"/>
                <w:szCs w:val="20"/>
              </w:rPr>
              <w:t>-£22</w:t>
            </w:r>
          </w:p>
        </w:tc>
        <w:tc>
          <w:tcPr>
            <w:tcW w:w="1579" w:type="dxa"/>
            <w:shd w:val="clear" w:color="auto" w:fill="D9D9D9" w:themeFill="background1" w:themeFillShade="D9"/>
            <w:noWrap/>
            <w:hideMark/>
          </w:tcPr>
          <w:p w14:paraId="1F59A9CC" w14:textId="77777777" w:rsidR="00DD0F05" w:rsidRPr="00DD0F05" w:rsidRDefault="00DD0F05" w:rsidP="00FA2DDA">
            <w:pPr>
              <w:spacing w:after="0" w:line="240" w:lineRule="auto"/>
              <w:rPr>
                <w:rFonts w:ascii="Arial" w:hAnsi="Arial" w:cs="Arial"/>
                <w:b/>
                <w:bCs/>
                <w:color w:val="auto"/>
                <w:sz w:val="20"/>
                <w:szCs w:val="20"/>
              </w:rPr>
            </w:pPr>
            <w:r w:rsidRPr="00DD0F05">
              <w:rPr>
                <w:rFonts w:ascii="Arial" w:hAnsi="Arial" w:cs="Arial"/>
                <w:b/>
                <w:bCs/>
                <w:color w:val="auto"/>
                <w:sz w:val="20"/>
                <w:szCs w:val="20"/>
              </w:rPr>
              <w:t>-£23</w:t>
            </w:r>
          </w:p>
        </w:tc>
        <w:tc>
          <w:tcPr>
            <w:tcW w:w="1420" w:type="dxa"/>
            <w:shd w:val="clear" w:color="auto" w:fill="D9D9D9" w:themeFill="background1" w:themeFillShade="D9"/>
            <w:noWrap/>
            <w:hideMark/>
          </w:tcPr>
          <w:p w14:paraId="4DD3B42D" w14:textId="77777777" w:rsidR="00DD0F05" w:rsidRPr="00DD0F05" w:rsidRDefault="00DD0F05" w:rsidP="00FA2DDA">
            <w:pPr>
              <w:spacing w:after="0" w:line="240" w:lineRule="auto"/>
              <w:rPr>
                <w:rFonts w:ascii="Arial" w:hAnsi="Arial" w:cs="Arial"/>
                <w:b/>
                <w:bCs/>
                <w:color w:val="auto"/>
                <w:sz w:val="20"/>
                <w:szCs w:val="20"/>
              </w:rPr>
            </w:pPr>
            <w:r w:rsidRPr="00DD0F05">
              <w:rPr>
                <w:rFonts w:ascii="Arial" w:hAnsi="Arial" w:cs="Arial"/>
                <w:b/>
                <w:bCs/>
                <w:color w:val="auto"/>
                <w:sz w:val="20"/>
                <w:szCs w:val="20"/>
              </w:rPr>
              <w:t>-£28</w:t>
            </w:r>
          </w:p>
        </w:tc>
        <w:tc>
          <w:tcPr>
            <w:tcW w:w="1560" w:type="dxa"/>
            <w:shd w:val="clear" w:color="auto" w:fill="D9D9D9" w:themeFill="background1" w:themeFillShade="D9"/>
            <w:noWrap/>
            <w:hideMark/>
          </w:tcPr>
          <w:p w14:paraId="4DB3FD9C" w14:textId="77777777" w:rsidR="00DD0F05" w:rsidRPr="00DD0F05" w:rsidRDefault="00DD0F05" w:rsidP="00FA2DDA">
            <w:pPr>
              <w:spacing w:after="0" w:line="240" w:lineRule="auto"/>
              <w:rPr>
                <w:rFonts w:ascii="Arial" w:hAnsi="Arial" w:cs="Arial"/>
                <w:b/>
                <w:bCs/>
                <w:color w:val="auto"/>
                <w:sz w:val="20"/>
                <w:szCs w:val="20"/>
              </w:rPr>
            </w:pPr>
            <w:r w:rsidRPr="00DD0F05">
              <w:rPr>
                <w:rFonts w:ascii="Arial" w:hAnsi="Arial" w:cs="Arial"/>
                <w:b/>
                <w:bCs/>
                <w:color w:val="auto"/>
                <w:sz w:val="20"/>
                <w:szCs w:val="20"/>
              </w:rPr>
              <w:t>-£29</w:t>
            </w:r>
          </w:p>
        </w:tc>
      </w:tr>
      <w:bookmarkEnd w:id="31"/>
    </w:tbl>
    <w:p w14:paraId="6A387772" w14:textId="77777777" w:rsidR="009F6943" w:rsidRDefault="009F6943" w:rsidP="00995855">
      <w:pPr>
        <w:rPr>
          <w:rFonts w:ascii="Arial" w:hAnsi="Arial" w:cs="Arial"/>
          <w:lang w:eastAsia="en-GB"/>
        </w:rPr>
      </w:pPr>
    </w:p>
    <w:p w14:paraId="06DCC7EF" w14:textId="73EC4E83" w:rsidR="009F6943" w:rsidRPr="00995855" w:rsidRDefault="00491F79" w:rsidP="00995855">
      <w:pPr>
        <w:rPr>
          <w:rFonts w:ascii="Arial" w:hAnsi="Arial" w:cs="Arial"/>
          <w:lang w:eastAsia="en-GB"/>
        </w:rPr>
      </w:pPr>
      <w:r>
        <w:rPr>
          <w:rFonts w:ascii="Arial" w:hAnsi="Arial" w:cs="Arial"/>
          <w:lang w:eastAsia="en-GB"/>
        </w:rPr>
        <w:t xml:space="preserve">It is the council’s intention to </w:t>
      </w:r>
      <w:r w:rsidR="00A511ED">
        <w:rPr>
          <w:rFonts w:ascii="Arial" w:hAnsi="Arial" w:cs="Arial"/>
          <w:lang w:eastAsia="en-GB"/>
        </w:rPr>
        <w:t xml:space="preserve">model on the basis of 90% </w:t>
      </w:r>
      <w:r>
        <w:rPr>
          <w:rFonts w:ascii="Arial" w:hAnsi="Arial" w:cs="Arial"/>
          <w:lang w:eastAsia="en-GB"/>
        </w:rPr>
        <w:t>occupancy as part of the market sustainability plan, which remains in draft form. The council will engage with providers on the method of adjustment to take account of the fixed and variable costs, as highlighted.</w:t>
      </w:r>
      <w:r w:rsidR="006D1D8D">
        <w:rPr>
          <w:rFonts w:ascii="Arial" w:hAnsi="Arial" w:cs="Arial"/>
          <w:lang w:eastAsia="en-GB"/>
        </w:rPr>
        <w:t xml:space="preserve"> There is apparent over supply of care home beds across the county which the council is seeking to address in coming years.  Achieving higher occupancy in the more viable homes is part of this approach.</w:t>
      </w:r>
    </w:p>
    <w:p w14:paraId="24A516C4" w14:textId="77777777" w:rsidR="00995855" w:rsidRPr="008534E0"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33" w:name="_Toc114240164"/>
      <w:r w:rsidRPr="008534E0">
        <w:rPr>
          <w:rFonts w:ascii="Arial" w:eastAsia="Times New Roman" w:hAnsi="Arial" w:cs="Arial"/>
          <w:color w:val="auto"/>
          <w:lang w:eastAsia="en-GB"/>
        </w:rPr>
        <w:t>2.11.3 Confidence intervals</w:t>
      </w:r>
      <w:bookmarkEnd w:id="33"/>
    </w:p>
    <w:p w14:paraId="707AD3D9" w14:textId="77777777" w:rsidR="00402224" w:rsidRDefault="00402224" w:rsidP="00995855">
      <w:pPr>
        <w:spacing w:after="0" w:line="280" w:lineRule="exact"/>
        <w:jc w:val="both"/>
        <w:rPr>
          <w:rFonts w:ascii="Arial" w:hAnsi="Arial" w:cs="Arial"/>
          <w:lang w:eastAsia="en-GB"/>
        </w:rPr>
      </w:pPr>
    </w:p>
    <w:p w14:paraId="635A8758" w14:textId="1764A59E" w:rsidR="00DC73CB" w:rsidRDefault="00995855" w:rsidP="00995855">
      <w:pPr>
        <w:spacing w:after="0" w:line="280" w:lineRule="exact"/>
        <w:jc w:val="both"/>
        <w:rPr>
          <w:rFonts w:ascii="Arial" w:hAnsi="Arial" w:cs="Arial"/>
          <w:color w:val="auto"/>
        </w:rPr>
      </w:pPr>
      <w:r w:rsidRPr="00995855">
        <w:rPr>
          <w:rFonts w:ascii="Arial" w:hAnsi="Arial" w:cs="Arial"/>
          <w:color w:val="auto"/>
        </w:rPr>
        <w:t xml:space="preserve">While </w:t>
      </w:r>
      <w:r w:rsidR="006D1D8D">
        <w:rPr>
          <w:rFonts w:ascii="Arial" w:hAnsi="Arial" w:cs="Arial"/>
          <w:color w:val="auto"/>
        </w:rPr>
        <w:t>LaingBuisson</w:t>
      </w:r>
      <w:r w:rsidR="006D1D8D" w:rsidRPr="00995855">
        <w:rPr>
          <w:rFonts w:ascii="Arial" w:hAnsi="Arial" w:cs="Arial"/>
          <w:color w:val="auto"/>
        </w:rPr>
        <w:t xml:space="preserve"> </w:t>
      </w:r>
      <w:r w:rsidRPr="00995855">
        <w:rPr>
          <w:rFonts w:ascii="Arial" w:hAnsi="Arial" w:cs="Arial"/>
          <w:color w:val="auto"/>
        </w:rPr>
        <w:t>have no reason to believe that the toolkit responses were biased in any systematic way</w:t>
      </w:r>
      <w:r w:rsidRPr="00995855">
        <w:rPr>
          <w:rFonts w:ascii="Arial" w:hAnsi="Arial" w:cs="Arial"/>
          <w:color w:val="auto"/>
          <w:vertAlign w:val="superscript"/>
        </w:rPr>
        <w:footnoteReference w:id="8"/>
      </w:r>
      <w:r w:rsidRPr="00995855">
        <w:rPr>
          <w:rFonts w:ascii="Arial" w:hAnsi="Arial" w:cs="Arial"/>
          <w:color w:val="auto"/>
        </w:rPr>
        <w:t>, there was a high degree of variance in many of the cost lines submitted by respondents. In particular staff input per resident per week, which is the largest single driver of costs, was highly variable across homes within each of the four modalities of care considered</w:t>
      </w:r>
      <w:r w:rsidRPr="00995855">
        <w:rPr>
          <w:rFonts w:ascii="Arial" w:hAnsi="Arial" w:cs="Arial"/>
          <w:color w:val="auto"/>
          <w:vertAlign w:val="superscript"/>
        </w:rPr>
        <w:footnoteReference w:id="9"/>
      </w:r>
      <w:r w:rsidRPr="00995855">
        <w:rPr>
          <w:rFonts w:ascii="Arial" w:hAnsi="Arial" w:cs="Arial"/>
          <w:color w:val="auto"/>
        </w:rPr>
        <w:t xml:space="preserve">. </w:t>
      </w:r>
      <w:r w:rsidR="00DC73CB">
        <w:rPr>
          <w:rFonts w:ascii="Arial" w:hAnsi="Arial" w:cs="Arial"/>
          <w:color w:val="auto"/>
        </w:rPr>
        <w:t xml:space="preserve">The council has noted the median nursing hours per resident appear to be higher than those in other areas, which may reflect differences in delivery in Oxfordshire which would require further </w:t>
      </w:r>
      <w:r w:rsidR="00DC73CB">
        <w:rPr>
          <w:rFonts w:ascii="Arial" w:hAnsi="Arial" w:cs="Arial"/>
          <w:color w:val="auto"/>
        </w:rPr>
        <w:lastRenderedPageBreak/>
        <w:t xml:space="preserve">investigation. This element of the returns may also reflect flaws in the data, based on the low return rate and other factors.  The council is aware the base rates for nursing care placements in Oxfordshire are higher than in neighbouring authorities, making this a significant area for further information gathering and analysis, in direct communication with more of the providers in the county. </w:t>
      </w:r>
      <w:r w:rsidR="003C554B">
        <w:rPr>
          <w:rFonts w:ascii="Arial" w:hAnsi="Arial" w:cs="Arial"/>
          <w:color w:val="auto"/>
        </w:rPr>
        <w:t xml:space="preserve"> This will inform </w:t>
      </w:r>
      <w:r w:rsidR="00150A1F">
        <w:rPr>
          <w:rFonts w:ascii="Arial" w:hAnsi="Arial" w:cs="Arial"/>
          <w:color w:val="auto"/>
        </w:rPr>
        <w:t>an ongoing dialogue on the</w:t>
      </w:r>
      <w:r w:rsidR="003C554B">
        <w:rPr>
          <w:rFonts w:ascii="Arial" w:hAnsi="Arial" w:cs="Arial"/>
          <w:color w:val="auto"/>
        </w:rPr>
        <w:t xml:space="preserve"> Cost of Care and support the council’s approach to moving towards it, as guided by DHSC.</w:t>
      </w:r>
    </w:p>
    <w:p w14:paraId="5595A715" w14:textId="77777777" w:rsidR="00DC73CB" w:rsidRPr="00995855" w:rsidRDefault="00DC73CB" w:rsidP="00995855">
      <w:pPr>
        <w:spacing w:after="0" w:line="280" w:lineRule="exact"/>
        <w:jc w:val="both"/>
        <w:rPr>
          <w:rFonts w:ascii="Arial" w:hAnsi="Arial" w:cs="Arial"/>
          <w:color w:val="auto"/>
        </w:rPr>
      </w:pPr>
    </w:p>
    <w:p w14:paraId="4EBC2560" w14:textId="31FB792E"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DHSC guidance does not ask for any assessment of the reliability of the </w:t>
      </w:r>
      <w:r w:rsidR="0029380F">
        <w:rPr>
          <w:rFonts w:ascii="Arial" w:hAnsi="Arial" w:cs="Arial"/>
          <w:color w:val="auto"/>
        </w:rPr>
        <w:t>CoC</w:t>
      </w:r>
      <w:r w:rsidRPr="00995855">
        <w:rPr>
          <w:rFonts w:ascii="Arial" w:hAnsi="Arial" w:cs="Arial"/>
          <w:color w:val="auto"/>
        </w:rPr>
        <w:t xml:space="preserve"> results. However, </w:t>
      </w:r>
      <w:r w:rsidR="00913E1D">
        <w:rPr>
          <w:rFonts w:ascii="Arial" w:hAnsi="Arial" w:cs="Arial"/>
          <w:color w:val="auto"/>
        </w:rPr>
        <w:t xml:space="preserve">in </w:t>
      </w:r>
      <w:r w:rsidRPr="00995855">
        <w:rPr>
          <w:rFonts w:ascii="Arial" w:hAnsi="Arial" w:cs="Arial"/>
          <w:color w:val="auto"/>
        </w:rPr>
        <w:t>recogni</w:t>
      </w:r>
      <w:r w:rsidR="00913E1D">
        <w:rPr>
          <w:rFonts w:ascii="Arial" w:hAnsi="Arial" w:cs="Arial"/>
          <w:color w:val="auto"/>
        </w:rPr>
        <w:t xml:space="preserve">tion of </w:t>
      </w:r>
      <w:r w:rsidRPr="00995855">
        <w:rPr>
          <w:rFonts w:ascii="Arial" w:hAnsi="Arial" w:cs="Arial"/>
          <w:color w:val="auto"/>
        </w:rPr>
        <w:t xml:space="preserve">the relatively low number of validated responses, and the high degree of variance among the sample of toolkits in most of the cost lines, </w:t>
      </w:r>
      <w:r w:rsidR="00913E1D">
        <w:rPr>
          <w:rFonts w:ascii="Arial" w:hAnsi="Arial" w:cs="Arial"/>
          <w:color w:val="auto"/>
        </w:rPr>
        <w:t xml:space="preserve">LaingBuisson </w:t>
      </w:r>
      <w:r w:rsidR="00DC645F">
        <w:rPr>
          <w:rFonts w:ascii="Arial" w:hAnsi="Arial" w:cs="Arial"/>
          <w:color w:val="auto"/>
        </w:rPr>
        <w:t>set</w:t>
      </w:r>
      <w:r w:rsidR="00913E1D">
        <w:rPr>
          <w:rFonts w:ascii="Arial" w:hAnsi="Arial" w:cs="Arial"/>
          <w:color w:val="auto"/>
        </w:rPr>
        <w:t xml:space="preserve"> out an indication of confidence limits, the calculations for which can be seen in Figure </w:t>
      </w:r>
      <w:r w:rsidR="00AF7AF6">
        <w:rPr>
          <w:rFonts w:ascii="Arial" w:hAnsi="Arial" w:cs="Arial"/>
          <w:color w:val="auto"/>
        </w:rPr>
        <w:t>2</w:t>
      </w:r>
      <w:r w:rsidR="00913E1D">
        <w:rPr>
          <w:rFonts w:ascii="Arial" w:hAnsi="Arial" w:cs="Arial"/>
          <w:color w:val="auto"/>
        </w:rPr>
        <w:t xml:space="preserve">. </w:t>
      </w:r>
    </w:p>
    <w:p w14:paraId="18B84F45" w14:textId="77777777" w:rsidR="009D08E4" w:rsidRDefault="009D08E4" w:rsidP="00995855">
      <w:pPr>
        <w:spacing w:after="0" w:line="280" w:lineRule="exact"/>
        <w:jc w:val="both"/>
        <w:rPr>
          <w:rFonts w:ascii="Arial" w:hAnsi="Arial" w:cs="Arial"/>
        </w:rPr>
      </w:pPr>
    </w:p>
    <w:p w14:paraId="277DF890" w14:textId="2917190F" w:rsidR="009D08E4" w:rsidRPr="002B4734" w:rsidRDefault="00A51BD2" w:rsidP="009D08E4">
      <w:pPr>
        <w:spacing w:after="0" w:line="240" w:lineRule="auto"/>
        <w:jc w:val="both"/>
        <w:rPr>
          <w:rFonts w:ascii="Arial" w:hAnsi="Arial" w:cs="Arial"/>
          <w:sz w:val="20"/>
          <w:szCs w:val="20"/>
        </w:rPr>
      </w:pPr>
      <w:r w:rsidRPr="002B4734">
        <w:rPr>
          <w:noProof/>
          <w:sz w:val="28"/>
          <w:szCs w:val="28"/>
        </w:rPr>
        <w:drawing>
          <wp:anchor distT="0" distB="0" distL="114300" distR="114300" simplePos="0" relativeHeight="251662848" behindDoc="0" locked="0" layoutInCell="1" allowOverlap="1" wp14:anchorId="332271ED" wp14:editId="7647ECD0">
            <wp:simplePos x="0" y="0"/>
            <wp:positionH relativeFrom="margin">
              <wp:align>left</wp:align>
            </wp:positionH>
            <wp:positionV relativeFrom="paragraph">
              <wp:posOffset>354965</wp:posOffset>
            </wp:positionV>
            <wp:extent cx="5788025" cy="2526030"/>
            <wp:effectExtent l="0" t="0" r="3175" b="7620"/>
            <wp:wrapTopAndBottom/>
            <wp:docPr id="1" name="Chart 1">
              <a:extLst xmlns:a="http://schemas.openxmlformats.org/drawingml/2006/main">
                <a:ext uri="{FF2B5EF4-FFF2-40B4-BE49-F238E27FC236}">
                  <a16:creationId xmlns:a16="http://schemas.microsoft.com/office/drawing/2014/main" id="{63836CB4-AF9E-DAA4-8767-3D373ADE8D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D08E4" w:rsidRPr="002B4734">
        <w:rPr>
          <w:rFonts w:ascii="Arial" w:hAnsi="Arial" w:cs="Arial"/>
          <w:sz w:val="20"/>
          <w:szCs w:val="20"/>
        </w:rPr>
        <w:t xml:space="preserve">Figure 2 </w:t>
      </w:r>
      <w:r w:rsidR="002B4734">
        <w:rPr>
          <w:rFonts w:ascii="Arial" w:hAnsi="Arial" w:cs="Arial"/>
          <w:sz w:val="20"/>
          <w:szCs w:val="20"/>
        </w:rPr>
        <w:t xml:space="preserve">- </w:t>
      </w:r>
      <w:r w:rsidR="009D08E4" w:rsidRPr="002B4734">
        <w:rPr>
          <w:rFonts w:ascii="Arial" w:hAnsi="Arial" w:cs="Arial"/>
          <w:sz w:val="20"/>
          <w:szCs w:val="20"/>
        </w:rPr>
        <w:t>Cost of Care median costs for April 2022 with 95% confidence intervals, and comparison with fee rates paid by councils to independent sector providers in financial year 2022/23 to date</w:t>
      </w:r>
    </w:p>
    <w:p w14:paraId="11EF3A10" w14:textId="77777777" w:rsidR="009D08E4" w:rsidRDefault="009D08E4" w:rsidP="009D08E4">
      <w:pPr>
        <w:spacing w:after="0" w:line="240" w:lineRule="auto"/>
      </w:pPr>
    </w:p>
    <w:p w14:paraId="2193278B" w14:textId="77777777" w:rsidR="009D08E4" w:rsidRDefault="009D08E4" w:rsidP="009D08E4">
      <w:pPr>
        <w:spacing w:after="0" w:line="240" w:lineRule="auto"/>
        <w:rPr>
          <w:rFonts w:ascii="Arial" w:hAnsi="Arial" w:cs="Arial"/>
          <w:sz w:val="16"/>
          <w:szCs w:val="16"/>
        </w:rPr>
      </w:pPr>
      <w:r w:rsidRPr="005D259C">
        <w:rPr>
          <w:rFonts w:ascii="Arial" w:hAnsi="Arial" w:cs="Arial"/>
          <w:sz w:val="16"/>
          <w:szCs w:val="16"/>
        </w:rPr>
        <w:t>Note: The LA nursing care rates include £209.19 per week funding contribution from NHS FNC</w:t>
      </w:r>
    </w:p>
    <w:p w14:paraId="031353C3" w14:textId="77777777" w:rsidR="009D08E4" w:rsidRPr="00EF3CA1" w:rsidRDefault="009D08E4" w:rsidP="00995855">
      <w:pPr>
        <w:spacing w:after="0" w:line="280" w:lineRule="exact"/>
        <w:jc w:val="both"/>
        <w:rPr>
          <w:rFonts w:ascii="Arial" w:hAnsi="Arial" w:cs="Arial"/>
          <w:color w:val="auto"/>
        </w:rPr>
      </w:pPr>
    </w:p>
    <w:p w14:paraId="75D5562E" w14:textId="329FBBCC" w:rsidR="0084182A" w:rsidRPr="00EF3CA1" w:rsidRDefault="00402224" w:rsidP="0084182A">
      <w:pPr>
        <w:spacing w:after="0" w:line="280" w:lineRule="exact"/>
        <w:jc w:val="both"/>
        <w:rPr>
          <w:rFonts w:ascii="Arial" w:hAnsi="Arial" w:cs="Arial"/>
          <w:color w:val="auto"/>
        </w:rPr>
      </w:pPr>
      <w:r w:rsidRPr="00EF3CA1">
        <w:rPr>
          <w:rFonts w:ascii="Arial" w:hAnsi="Arial" w:cs="Arial"/>
          <w:color w:val="auto"/>
        </w:rPr>
        <w:t xml:space="preserve">The number of respondents in any given council area was limited and there was a high degree of variance in many of the cost lines submitted by respondents. </w:t>
      </w:r>
      <w:r w:rsidR="00D62D1C" w:rsidRPr="00EF3CA1">
        <w:rPr>
          <w:rFonts w:ascii="Arial" w:hAnsi="Arial" w:cs="Arial"/>
          <w:color w:val="auto"/>
        </w:rPr>
        <w:t>Staff</w:t>
      </w:r>
      <w:r w:rsidRPr="00EF3CA1">
        <w:rPr>
          <w:rFonts w:ascii="Arial" w:hAnsi="Arial" w:cs="Arial"/>
          <w:color w:val="auto"/>
        </w:rPr>
        <w:t xml:space="preserve"> input per resident per week, which is the largest single driver of costs, was highly variable across homes within each of the four modalities of care considered</w:t>
      </w:r>
      <w:r w:rsidR="00D62D1C" w:rsidRPr="00EF3CA1">
        <w:rPr>
          <w:rFonts w:ascii="Arial" w:hAnsi="Arial" w:cs="Arial"/>
          <w:color w:val="auto"/>
        </w:rPr>
        <w:t>.</w:t>
      </w:r>
    </w:p>
    <w:p w14:paraId="7F201108" w14:textId="77777777" w:rsidR="0084182A" w:rsidRPr="0084182A" w:rsidRDefault="0084182A" w:rsidP="0084182A">
      <w:pPr>
        <w:spacing w:after="0" w:line="280" w:lineRule="exact"/>
        <w:rPr>
          <w:rFonts w:ascii="Arial" w:hAnsi="Arial" w:cs="Arial"/>
          <w:sz w:val="16"/>
          <w:szCs w:val="16"/>
        </w:rPr>
      </w:pPr>
    </w:p>
    <w:p w14:paraId="3A94879A" w14:textId="77777777" w:rsidR="00995855" w:rsidRPr="0084182A" w:rsidRDefault="00995855" w:rsidP="00995855">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34" w:name="_Toc114240166"/>
      <w:r w:rsidRPr="0084182A">
        <w:rPr>
          <w:rFonts w:ascii="Arial" w:eastAsia="Times New Roman" w:hAnsi="Arial" w:cs="Arial"/>
          <w:color w:val="auto"/>
          <w:lang w:eastAsia="en-GB"/>
        </w:rPr>
        <w:t>2.12 Conclusions</w:t>
      </w:r>
      <w:bookmarkEnd w:id="34"/>
    </w:p>
    <w:p w14:paraId="6F22FC3A" w14:textId="77777777" w:rsidR="00995855" w:rsidRPr="00995855" w:rsidRDefault="00995855" w:rsidP="00995855">
      <w:pPr>
        <w:spacing w:after="0" w:line="280" w:lineRule="exact"/>
        <w:jc w:val="both"/>
        <w:rPr>
          <w:rFonts w:ascii="Arial" w:hAnsi="Arial" w:cs="Arial"/>
          <w:color w:val="auto"/>
        </w:rPr>
      </w:pPr>
    </w:p>
    <w:p w14:paraId="2C3342BE" w14:textId="59EBB4CB"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The median results presented in Tables 1 and 4 are derived from a response rate of completed and validated toolkits which for some councils was lower than usually achieved in cost of care exercises carried out by LaingBuisson over the last decade. One reason was the challenging timescale for the national </w:t>
      </w:r>
      <w:r w:rsidR="00EF3CA1">
        <w:rPr>
          <w:rFonts w:ascii="Arial" w:hAnsi="Arial" w:cs="Arial"/>
          <w:color w:val="auto"/>
        </w:rPr>
        <w:t xml:space="preserve">CoC </w:t>
      </w:r>
      <w:r w:rsidR="00EF3CA1" w:rsidRPr="00995855">
        <w:rPr>
          <w:rFonts w:ascii="Arial" w:hAnsi="Arial" w:cs="Arial"/>
          <w:color w:val="auto"/>
        </w:rPr>
        <w:t>programme</w:t>
      </w:r>
      <w:r w:rsidRPr="00995855">
        <w:rPr>
          <w:rFonts w:ascii="Arial" w:hAnsi="Arial" w:cs="Arial"/>
          <w:color w:val="auto"/>
        </w:rPr>
        <w:t>. Feedback received from providers during the engagement process identified some of their reasons for hesitancy to respond:</w:t>
      </w:r>
    </w:p>
    <w:p w14:paraId="45944EA9" w14:textId="77777777" w:rsidR="00995855" w:rsidRPr="00995855" w:rsidRDefault="00995855" w:rsidP="00995855">
      <w:pPr>
        <w:spacing w:after="0" w:line="280" w:lineRule="exact"/>
        <w:jc w:val="both"/>
        <w:rPr>
          <w:rFonts w:ascii="Arial" w:hAnsi="Arial" w:cs="Arial"/>
          <w:color w:val="auto"/>
        </w:rPr>
      </w:pPr>
    </w:p>
    <w:p w14:paraId="659A88DA" w14:textId="77777777" w:rsidR="00995855" w:rsidRPr="00995855" w:rsidRDefault="00995855" w:rsidP="00EC7E75">
      <w:pPr>
        <w:numPr>
          <w:ilvl w:val="0"/>
          <w:numId w:val="1"/>
        </w:numPr>
        <w:suppressAutoHyphens/>
        <w:spacing w:after="0" w:line="280" w:lineRule="exact"/>
        <w:rPr>
          <w:rFonts w:ascii="Arial" w:eastAsia="Times New Roman" w:hAnsi="Arial" w:cs="Arial"/>
          <w:color w:val="auto"/>
          <w:lang w:eastAsia="en-GB"/>
        </w:rPr>
      </w:pPr>
      <w:r w:rsidRPr="00995855">
        <w:rPr>
          <w:rFonts w:ascii="Arial" w:eastAsia="Times New Roman" w:hAnsi="Arial" w:cs="Arial"/>
          <w:color w:val="auto"/>
          <w:lang w:eastAsia="en-GB"/>
        </w:rPr>
        <w:t>Demanding toolkit and insufficient time to complete it (may have been exacerbated by current staffing challenges).</w:t>
      </w:r>
    </w:p>
    <w:p w14:paraId="7480FCC4" w14:textId="77777777" w:rsidR="00995855" w:rsidRPr="00995855" w:rsidRDefault="00995855" w:rsidP="0084182A">
      <w:pPr>
        <w:suppressAutoHyphens/>
        <w:spacing w:after="0" w:line="280" w:lineRule="exact"/>
        <w:ind w:left="720"/>
        <w:rPr>
          <w:rFonts w:ascii="Arial" w:eastAsia="Times New Roman" w:hAnsi="Arial" w:cs="Arial"/>
          <w:color w:val="auto"/>
          <w:lang w:eastAsia="en-GB"/>
        </w:rPr>
      </w:pPr>
    </w:p>
    <w:p w14:paraId="136DE8C9" w14:textId="77777777" w:rsidR="00995855" w:rsidRPr="00995855" w:rsidRDefault="00995855" w:rsidP="00EC7E75">
      <w:pPr>
        <w:numPr>
          <w:ilvl w:val="0"/>
          <w:numId w:val="1"/>
        </w:numPr>
        <w:suppressAutoHyphens/>
        <w:spacing w:after="0" w:line="280" w:lineRule="exact"/>
        <w:rPr>
          <w:rFonts w:ascii="Arial" w:eastAsia="Times New Roman" w:hAnsi="Arial" w:cs="Arial"/>
          <w:color w:val="auto"/>
          <w:lang w:eastAsia="en-GB"/>
        </w:rPr>
      </w:pPr>
      <w:r w:rsidRPr="00995855">
        <w:rPr>
          <w:rFonts w:ascii="Arial" w:eastAsia="Times New Roman" w:hAnsi="Arial" w:cs="Arial"/>
          <w:color w:val="auto"/>
          <w:lang w:eastAsia="en-GB"/>
        </w:rPr>
        <w:lastRenderedPageBreak/>
        <w:t>Concern about confidentiality, since local authorities are able to inspect individual respondents’ data (previous LaingBuisson exercises have guaranteed confidentiality).</w:t>
      </w:r>
    </w:p>
    <w:p w14:paraId="7A882AFA" w14:textId="77777777" w:rsidR="00995855" w:rsidRPr="00995855" w:rsidRDefault="00995855" w:rsidP="0084182A">
      <w:pPr>
        <w:suppressAutoHyphens/>
        <w:spacing w:after="0" w:line="240" w:lineRule="auto"/>
        <w:ind w:left="720"/>
        <w:rPr>
          <w:rFonts w:ascii="Arial" w:eastAsia="Times New Roman" w:hAnsi="Arial" w:cs="Arial"/>
          <w:color w:val="auto"/>
          <w:lang w:eastAsia="en-GB"/>
        </w:rPr>
      </w:pPr>
    </w:p>
    <w:p w14:paraId="54E5AF5B" w14:textId="7D859B1E" w:rsidR="00995855" w:rsidRDefault="00995855" w:rsidP="00EC7E75">
      <w:pPr>
        <w:numPr>
          <w:ilvl w:val="0"/>
          <w:numId w:val="1"/>
        </w:numPr>
        <w:suppressAutoHyphens/>
        <w:spacing w:after="0" w:line="280" w:lineRule="exact"/>
        <w:rPr>
          <w:rFonts w:ascii="Arial" w:eastAsia="Times New Roman" w:hAnsi="Arial" w:cs="Arial"/>
          <w:color w:val="auto"/>
          <w:lang w:eastAsia="en-GB"/>
        </w:rPr>
      </w:pPr>
      <w:r w:rsidRPr="00995855">
        <w:rPr>
          <w:rFonts w:ascii="Arial" w:eastAsia="Times New Roman" w:hAnsi="Arial" w:cs="Arial"/>
          <w:color w:val="auto"/>
          <w:lang w:eastAsia="en-GB"/>
        </w:rPr>
        <w:t>Lack of confidence that the exercise would lead to financial benefits for providers, in the light of the perceived absence of benefits from earlier cost of care exercises.</w:t>
      </w:r>
    </w:p>
    <w:p w14:paraId="5D066AF0" w14:textId="77777777" w:rsidR="005D259C" w:rsidRDefault="005D259C" w:rsidP="005D259C">
      <w:pPr>
        <w:pStyle w:val="ListParagraph"/>
        <w:rPr>
          <w:rFonts w:ascii="Arial" w:hAnsi="Arial" w:cs="Arial"/>
          <w:color w:val="auto"/>
        </w:rPr>
      </w:pPr>
    </w:p>
    <w:p w14:paraId="59AB9869" w14:textId="34B7FA82" w:rsidR="005D259C" w:rsidRPr="005D259C" w:rsidRDefault="005D259C" w:rsidP="005D259C">
      <w:pPr>
        <w:numPr>
          <w:ilvl w:val="0"/>
          <w:numId w:val="1"/>
        </w:numPr>
        <w:suppressAutoHyphens/>
        <w:spacing w:after="0" w:line="280" w:lineRule="exact"/>
        <w:rPr>
          <w:rFonts w:ascii="Arial" w:eastAsia="Times New Roman" w:hAnsi="Arial" w:cs="Arial"/>
          <w:color w:val="auto"/>
          <w:lang w:eastAsia="en-GB"/>
        </w:rPr>
      </w:pPr>
      <w:r w:rsidRPr="005D259C">
        <w:rPr>
          <w:rFonts w:ascii="Arial" w:eastAsia="Times New Roman" w:hAnsi="Arial" w:cs="Arial"/>
          <w:color w:val="auto"/>
          <w:lang w:eastAsia="en-GB"/>
        </w:rPr>
        <w:t>The results summarised in Figure 2 i</w:t>
      </w:r>
      <w:r w:rsidR="00710951">
        <w:rPr>
          <w:rFonts w:ascii="Arial" w:eastAsia="Times New Roman" w:hAnsi="Arial" w:cs="Arial"/>
          <w:color w:val="auto"/>
          <w:lang w:eastAsia="en-GB"/>
        </w:rPr>
        <w:t xml:space="preserve">mply </w:t>
      </w:r>
      <w:r w:rsidRPr="005D259C">
        <w:rPr>
          <w:rFonts w:ascii="Arial" w:eastAsia="Times New Roman" w:hAnsi="Arial" w:cs="Arial"/>
          <w:color w:val="auto"/>
          <w:lang w:eastAsia="en-GB"/>
        </w:rPr>
        <w:t xml:space="preserve"> that there is currently a substantial fee gap in Oxfordshire for all four care modalities. The fee gaps, as measured by the differences between the </w:t>
      </w:r>
      <w:r w:rsidR="00BE2ACF">
        <w:rPr>
          <w:rFonts w:ascii="Arial" w:eastAsia="Times New Roman" w:hAnsi="Arial" w:cs="Arial"/>
          <w:color w:val="auto"/>
          <w:lang w:eastAsia="en-GB"/>
        </w:rPr>
        <w:t>C</w:t>
      </w:r>
      <w:r w:rsidR="0029380F">
        <w:rPr>
          <w:rFonts w:ascii="Arial" w:eastAsia="Times New Roman" w:hAnsi="Arial" w:cs="Arial"/>
          <w:color w:val="auto"/>
          <w:lang w:eastAsia="en-GB"/>
        </w:rPr>
        <w:t>oC</w:t>
      </w:r>
      <w:r w:rsidRPr="005D259C">
        <w:rPr>
          <w:rFonts w:ascii="Arial" w:eastAsia="Times New Roman" w:hAnsi="Arial" w:cs="Arial"/>
          <w:color w:val="auto"/>
          <w:lang w:eastAsia="en-GB"/>
        </w:rPr>
        <w:t xml:space="preserve"> medians and the average fees currently paid to independent sector providers by Oxfordshire County Council, range from £2</w:t>
      </w:r>
      <w:r w:rsidR="009D08E4">
        <w:rPr>
          <w:rFonts w:ascii="Arial" w:eastAsia="Times New Roman" w:hAnsi="Arial" w:cs="Arial"/>
          <w:color w:val="auto"/>
          <w:lang w:eastAsia="en-GB"/>
        </w:rPr>
        <w:t>23</w:t>
      </w:r>
      <w:r w:rsidRPr="005D259C">
        <w:rPr>
          <w:rFonts w:ascii="Arial" w:eastAsia="Times New Roman" w:hAnsi="Arial" w:cs="Arial"/>
          <w:color w:val="auto"/>
          <w:lang w:eastAsia="en-GB"/>
        </w:rPr>
        <w:t xml:space="preserve"> to £</w:t>
      </w:r>
      <w:r w:rsidR="009D08E4">
        <w:rPr>
          <w:rFonts w:ascii="Arial" w:eastAsia="Times New Roman" w:hAnsi="Arial" w:cs="Arial"/>
          <w:color w:val="auto"/>
          <w:lang w:eastAsia="en-GB"/>
        </w:rPr>
        <w:t>290</w:t>
      </w:r>
      <w:r w:rsidRPr="005D259C">
        <w:rPr>
          <w:rFonts w:ascii="Arial" w:eastAsia="Times New Roman" w:hAnsi="Arial" w:cs="Arial"/>
          <w:color w:val="auto"/>
          <w:lang w:eastAsia="en-GB"/>
        </w:rPr>
        <w:t xml:space="preserve"> per week.</w:t>
      </w:r>
    </w:p>
    <w:p w14:paraId="2702EA88" w14:textId="77777777" w:rsidR="005D259C" w:rsidRPr="005D259C" w:rsidRDefault="005D259C" w:rsidP="00FA2DDA">
      <w:pPr>
        <w:suppressAutoHyphens/>
        <w:spacing w:after="0" w:line="280" w:lineRule="exact"/>
        <w:ind w:left="720"/>
        <w:rPr>
          <w:rFonts w:ascii="Arial" w:eastAsia="Times New Roman" w:hAnsi="Arial" w:cs="Arial"/>
          <w:color w:val="auto"/>
          <w:lang w:eastAsia="en-GB"/>
        </w:rPr>
      </w:pPr>
    </w:p>
    <w:p w14:paraId="35EC3CF2" w14:textId="1B422993" w:rsidR="005D259C" w:rsidRPr="005D259C" w:rsidRDefault="005D259C" w:rsidP="005D259C">
      <w:pPr>
        <w:numPr>
          <w:ilvl w:val="0"/>
          <w:numId w:val="1"/>
        </w:numPr>
        <w:suppressAutoHyphens/>
        <w:spacing w:after="0" w:line="280" w:lineRule="exact"/>
        <w:rPr>
          <w:rFonts w:ascii="Arial" w:eastAsia="Times New Roman" w:hAnsi="Arial" w:cs="Arial"/>
          <w:color w:val="auto"/>
          <w:lang w:eastAsia="en-GB"/>
        </w:rPr>
      </w:pPr>
      <w:r w:rsidRPr="005D259C">
        <w:rPr>
          <w:rFonts w:ascii="Arial" w:eastAsia="Times New Roman" w:hAnsi="Arial" w:cs="Arial"/>
          <w:color w:val="auto"/>
          <w:lang w:eastAsia="en-GB"/>
        </w:rPr>
        <w:t xml:space="preserve">The </w:t>
      </w:r>
      <w:r w:rsidR="00BE2ACF">
        <w:rPr>
          <w:rFonts w:ascii="Arial" w:eastAsia="Times New Roman" w:hAnsi="Arial" w:cs="Arial"/>
          <w:color w:val="auto"/>
          <w:lang w:eastAsia="en-GB"/>
        </w:rPr>
        <w:t>C</w:t>
      </w:r>
      <w:r w:rsidR="0029380F">
        <w:rPr>
          <w:rFonts w:ascii="Arial" w:eastAsia="Times New Roman" w:hAnsi="Arial" w:cs="Arial"/>
          <w:color w:val="auto"/>
          <w:lang w:eastAsia="en-GB"/>
        </w:rPr>
        <w:t>oC</w:t>
      </w:r>
      <w:r w:rsidRPr="005D259C">
        <w:rPr>
          <w:rFonts w:ascii="Arial" w:eastAsia="Times New Roman" w:hAnsi="Arial" w:cs="Arial"/>
          <w:color w:val="auto"/>
          <w:lang w:eastAsia="en-GB"/>
        </w:rPr>
        <w:t xml:space="preserve"> medians, however, are subject to margins of error, and the fee gaps are smaller when measured by the differences between the lower 95% confidence bounds of the </w:t>
      </w:r>
      <w:r w:rsidR="00EF3CA1">
        <w:rPr>
          <w:rFonts w:ascii="Arial" w:eastAsia="Times New Roman" w:hAnsi="Arial" w:cs="Arial"/>
          <w:color w:val="auto"/>
          <w:lang w:eastAsia="en-GB"/>
        </w:rPr>
        <w:t>CoC</w:t>
      </w:r>
      <w:r w:rsidRPr="005D259C">
        <w:rPr>
          <w:rFonts w:ascii="Arial" w:eastAsia="Times New Roman" w:hAnsi="Arial" w:cs="Arial"/>
          <w:color w:val="auto"/>
          <w:lang w:eastAsia="en-GB"/>
        </w:rPr>
        <w:t xml:space="preserve"> medians and the average fees currently paid by Oxfordshire, with fee gaps ranging from £</w:t>
      </w:r>
      <w:r w:rsidR="009D08E4">
        <w:rPr>
          <w:rFonts w:ascii="Arial" w:eastAsia="Times New Roman" w:hAnsi="Arial" w:cs="Arial"/>
          <w:color w:val="auto"/>
          <w:lang w:eastAsia="en-GB"/>
        </w:rPr>
        <w:t>154</w:t>
      </w:r>
      <w:r w:rsidRPr="005D259C">
        <w:rPr>
          <w:rFonts w:ascii="Arial" w:eastAsia="Times New Roman" w:hAnsi="Arial" w:cs="Arial"/>
          <w:color w:val="auto"/>
          <w:lang w:eastAsia="en-GB"/>
        </w:rPr>
        <w:t xml:space="preserve"> to £2</w:t>
      </w:r>
      <w:r w:rsidR="009D08E4">
        <w:rPr>
          <w:rFonts w:ascii="Arial" w:eastAsia="Times New Roman" w:hAnsi="Arial" w:cs="Arial"/>
          <w:color w:val="auto"/>
          <w:lang w:eastAsia="en-GB"/>
        </w:rPr>
        <w:t xml:space="preserve">22 </w:t>
      </w:r>
      <w:r w:rsidRPr="005D259C">
        <w:rPr>
          <w:rFonts w:ascii="Arial" w:eastAsia="Times New Roman" w:hAnsi="Arial" w:cs="Arial"/>
          <w:color w:val="auto"/>
          <w:lang w:eastAsia="en-GB"/>
        </w:rPr>
        <w:t>per week.</w:t>
      </w:r>
    </w:p>
    <w:p w14:paraId="42EAEC13" w14:textId="77777777" w:rsidR="005D259C" w:rsidRPr="005D259C" w:rsidRDefault="005D259C" w:rsidP="005D259C">
      <w:pPr>
        <w:suppressAutoHyphens/>
        <w:spacing w:after="0" w:line="280" w:lineRule="exact"/>
        <w:ind w:left="720"/>
        <w:rPr>
          <w:rFonts w:ascii="Arial" w:eastAsia="Times New Roman" w:hAnsi="Arial" w:cs="Arial"/>
          <w:color w:val="auto"/>
          <w:lang w:eastAsia="en-GB"/>
        </w:rPr>
      </w:pPr>
    </w:p>
    <w:p w14:paraId="099CBCDF" w14:textId="0F3D7922" w:rsidR="005D259C" w:rsidRPr="00995855" w:rsidRDefault="005D259C" w:rsidP="005D259C">
      <w:pPr>
        <w:numPr>
          <w:ilvl w:val="0"/>
          <w:numId w:val="1"/>
        </w:numPr>
        <w:suppressAutoHyphens/>
        <w:spacing w:after="0" w:line="280" w:lineRule="exact"/>
        <w:rPr>
          <w:rFonts w:ascii="Arial" w:eastAsia="Times New Roman" w:hAnsi="Arial" w:cs="Arial"/>
          <w:color w:val="auto"/>
          <w:lang w:eastAsia="en-GB"/>
        </w:rPr>
      </w:pPr>
      <w:r>
        <w:rPr>
          <w:rFonts w:ascii="Arial" w:eastAsia="Times New Roman" w:hAnsi="Arial" w:cs="Arial"/>
          <w:color w:val="auto"/>
          <w:lang w:eastAsia="en-GB"/>
        </w:rPr>
        <w:t>The</w:t>
      </w:r>
      <w:r w:rsidRPr="005D259C">
        <w:rPr>
          <w:rFonts w:ascii="Arial" w:eastAsia="Times New Roman" w:hAnsi="Arial" w:cs="Arial"/>
          <w:color w:val="auto"/>
          <w:lang w:eastAsia="en-GB"/>
        </w:rPr>
        <w:t xml:space="preserve"> Council </w:t>
      </w:r>
      <w:r w:rsidR="00710951">
        <w:rPr>
          <w:rFonts w:ascii="Arial" w:eastAsia="Times New Roman" w:hAnsi="Arial" w:cs="Arial"/>
          <w:color w:val="auto"/>
          <w:lang w:eastAsia="en-GB"/>
        </w:rPr>
        <w:t xml:space="preserve">recognises </w:t>
      </w:r>
      <w:r w:rsidRPr="005D259C">
        <w:rPr>
          <w:rFonts w:ascii="Arial" w:eastAsia="Times New Roman" w:hAnsi="Arial" w:cs="Arial"/>
          <w:color w:val="auto"/>
          <w:lang w:eastAsia="en-GB"/>
        </w:rPr>
        <w:t>that fee gaps do exist, and that the</w:t>
      </w:r>
      <w:r w:rsidR="00710951">
        <w:rPr>
          <w:rFonts w:ascii="Arial" w:eastAsia="Times New Roman" w:hAnsi="Arial" w:cs="Arial"/>
          <w:color w:val="auto"/>
          <w:lang w:eastAsia="en-GB"/>
        </w:rPr>
        <w:t xml:space="preserve">se  appear to be at least </w:t>
      </w:r>
      <w:r w:rsidRPr="005D259C">
        <w:rPr>
          <w:rFonts w:ascii="Arial" w:eastAsia="Times New Roman" w:hAnsi="Arial" w:cs="Arial"/>
          <w:color w:val="auto"/>
          <w:lang w:eastAsia="en-GB"/>
        </w:rPr>
        <w:t>£</w:t>
      </w:r>
      <w:r w:rsidR="009D08E4">
        <w:rPr>
          <w:rFonts w:ascii="Arial" w:eastAsia="Times New Roman" w:hAnsi="Arial" w:cs="Arial"/>
          <w:color w:val="auto"/>
          <w:lang w:eastAsia="en-GB"/>
        </w:rPr>
        <w:t>154</w:t>
      </w:r>
      <w:r w:rsidRPr="005D259C">
        <w:rPr>
          <w:rFonts w:ascii="Arial" w:eastAsia="Times New Roman" w:hAnsi="Arial" w:cs="Arial"/>
          <w:color w:val="auto"/>
          <w:lang w:eastAsia="en-GB"/>
        </w:rPr>
        <w:t xml:space="preserve"> for residential, £2</w:t>
      </w:r>
      <w:r w:rsidR="009D08E4">
        <w:rPr>
          <w:rFonts w:ascii="Arial" w:eastAsia="Times New Roman" w:hAnsi="Arial" w:cs="Arial"/>
          <w:color w:val="auto"/>
          <w:lang w:eastAsia="en-GB"/>
        </w:rPr>
        <w:t>22</w:t>
      </w:r>
      <w:r w:rsidRPr="005D259C">
        <w:rPr>
          <w:rFonts w:ascii="Arial" w:eastAsia="Times New Roman" w:hAnsi="Arial" w:cs="Arial"/>
          <w:color w:val="auto"/>
          <w:lang w:eastAsia="en-GB"/>
        </w:rPr>
        <w:t xml:space="preserve"> for residential with enhancement, £</w:t>
      </w:r>
      <w:r w:rsidR="009D08E4">
        <w:rPr>
          <w:rFonts w:ascii="Arial" w:eastAsia="Times New Roman" w:hAnsi="Arial" w:cs="Arial"/>
          <w:color w:val="auto"/>
          <w:lang w:eastAsia="en-GB"/>
        </w:rPr>
        <w:t>156</w:t>
      </w:r>
      <w:r w:rsidRPr="005D259C">
        <w:rPr>
          <w:rFonts w:ascii="Arial" w:eastAsia="Times New Roman" w:hAnsi="Arial" w:cs="Arial"/>
          <w:color w:val="auto"/>
          <w:lang w:eastAsia="en-GB"/>
        </w:rPr>
        <w:t xml:space="preserve"> for nursing, and £</w:t>
      </w:r>
      <w:r w:rsidR="009D08E4">
        <w:rPr>
          <w:rFonts w:ascii="Arial" w:eastAsia="Times New Roman" w:hAnsi="Arial" w:cs="Arial"/>
          <w:color w:val="auto"/>
          <w:lang w:eastAsia="en-GB"/>
        </w:rPr>
        <w:t>144</w:t>
      </w:r>
      <w:r w:rsidRPr="005D259C">
        <w:rPr>
          <w:rFonts w:ascii="Arial" w:eastAsia="Times New Roman" w:hAnsi="Arial" w:cs="Arial"/>
          <w:color w:val="auto"/>
          <w:lang w:eastAsia="en-GB"/>
        </w:rPr>
        <w:t xml:space="preserve"> for nursing with enhancement, these being the gaps between the rates the council is currently paying and the lower bounds of the 95% confidence limits of the calculated C</w:t>
      </w:r>
      <w:r w:rsidR="00710951">
        <w:rPr>
          <w:rFonts w:ascii="Arial" w:eastAsia="Times New Roman" w:hAnsi="Arial" w:cs="Arial"/>
          <w:color w:val="auto"/>
          <w:lang w:eastAsia="en-GB"/>
        </w:rPr>
        <w:t>o</w:t>
      </w:r>
      <w:r w:rsidRPr="005D259C">
        <w:rPr>
          <w:rFonts w:ascii="Arial" w:eastAsia="Times New Roman" w:hAnsi="Arial" w:cs="Arial"/>
          <w:color w:val="auto"/>
          <w:lang w:eastAsia="en-GB"/>
        </w:rPr>
        <w:t>C medians.</w:t>
      </w:r>
    </w:p>
    <w:p w14:paraId="0FF0D980" w14:textId="77777777" w:rsidR="005D259C" w:rsidRPr="0084182A" w:rsidRDefault="005D259C" w:rsidP="00995855">
      <w:pPr>
        <w:rPr>
          <w:rFonts w:ascii="Arial" w:hAnsi="Arial" w:cs="Arial"/>
          <w:color w:val="auto"/>
          <w:sz w:val="20"/>
          <w:szCs w:val="20"/>
        </w:rPr>
      </w:pPr>
    </w:p>
    <w:p w14:paraId="7240F257" w14:textId="77777777" w:rsidR="00995855" w:rsidRPr="00226E1A" w:rsidRDefault="00995855" w:rsidP="00995855">
      <w:pPr>
        <w:rPr>
          <w:rFonts w:ascii="Arial" w:eastAsia="Times New Roman" w:hAnsi="Arial" w:cs="Arial"/>
          <w:color w:val="auto"/>
          <w:sz w:val="18"/>
          <w:szCs w:val="18"/>
          <w:lang w:eastAsia="en-GB"/>
        </w:rPr>
      </w:pPr>
      <w:r w:rsidRPr="00226E1A">
        <w:rPr>
          <w:rFonts w:ascii="Arial" w:hAnsi="Arial" w:cs="Arial"/>
          <w:color w:val="auto"/>
          <w:sz w:val="18"/>
          <w:szCs w:val="18"/>
        </w:rPr>
        <w:t>It is also important to emphasise that the four modalities of care specified by DHSC represent a basic segmentation only, masking what would be a wider range of costs if further sub-segmented.</w:t>
      </w:r>
      <w:r w:rsidRPr="00226E1A">
        <w:rPr>
          <w:rFonts w:ascii="Arial" w:eastAsia="Times New Roman" w:hAnsi="Arial" w:cs="Arial"/>
          <w:color w:val="auto"/>
          <w:sz w:val="18"/>
          <w:szCs w:val="18"/>
          <w:lang w:eastAsia="en-GB"/>
        </w:rPr>
        <w:t xml:space="preserve"> </w:t>
      </w:r>
      <w:r w:rsidRPr="00226E1A">
        <w:rPr>
          <w:rFonts w:ascii="Arial" w:hAnsi="Arial" w:cs="Arial"/>
          <w:color w:val="auto"/>
          <w:sz w:val="18"/>
          <w:szCs w:val="18"/>
          <w:lang w:eastAsia="en-GB"/>
        </w:rPr>
        <w:t>The latest DHSC guidance, dated 25 August 2022, recognises this as follows: ‘</w:t>
      </w:r>
      <w:r w:rsidRPr="00226E1A">
        <w:rPr>
          <w:rFonts w:ascii="Arial" w:hAnsi="Arial" w:cs="Arial"/>
          <w:i/>
          <w:iCs/>
          <w:color w:val="auto"/>
          <w:sz w:val="18"/>
          <w:szCs w:val="18"/>
          <w:lang w:eastAsia="en-GB"/>
        </w:rPr>
        <w:t>median figures for the broad service types within scope (standard residential care, residential care for enhanced needs, standard nursing care and nursing care for enhanced needs)’ … ‘may oversimplify what is a complex picture of care and support needs.’ …’ As many local authorities move towards paying the fare cost of care, it is expected that actual fee rates paid may differ due to such factors as rurality, personalisation of care, quality of provision and wider market circumstances</w:t>
      </w:r>
      <w:r w:rsidRPr="00226E1A">
        <w:rPr>
          <w:rFonts w:ascii="Arial" w:hAnsi="Arial" w:cs="Arial"/>
          <w:color w:val="auto"/>
          <w:sz w:val="18"/>
          <w:szCs w:val="18"/>
          <w:lang w:eastAsia="en-GB"/>
        </w:rPr>
        <w:t>.’</w:t>
      </w:r>
    </w:p>
    <w:p w14:paraId="40C613DE" w14:textId="6BCA71D0" w:rsidR="00020526" w:rsidRDefault="00020526" w:rsidP="00226E1A">
      <w:pPr>
        <w:rPr>
          <w:rFonts w:ascii="Arial" w:eastAsia="Times New Roman" w:hAnsi="Arial" w:cs="Arial"/>
          <w:b/>
          <w:bCs/>
          <w:color w:val="auto"/>
          <w:lang w:eastAsia="en-GB"/>
        </w:rPr>
      </w:pPr>
      <w:bookmarkStart w:id="35" w:name="_Toc114240167"/>
    </w:p>
    <w:p w14:paraId="507D286E" w14:textId="55CE951D" w:rsidR="001D45DB" w:rsidRDefault="001D45DB" w:rsidP="00226E1A">
      <w:pPr>
        <w:rPr>
          <w:rFonts w:ascii="Arial" w:eastAsia="Times New Roman" w:hAnsi="Arial" w:cs="Arial"/>
          <w:b/>
          <w:bCs/>
          <w:color w:val="auto"/>
          <w:lang w:eastAsia="en-GB"/>
        </w:rPr>
      </w:pPr>
    </w:p>
    <w:p w14:paraId="713B6C79" w14:textId="0FBD503A" w:rsidR="001D45DB" w:rsidRDefault="001D45DB" w:rsidP="00226E1A">
      <w:pPr>
        <w:rPr>
          <w:rFonts w:ascii="Arial" w:eastAsia="Times New Roman" w:hAnsi="Arial" w:cs="Arial"/>
          <w:b/>
          <w:bCs/>
          <w:color w:val="auto"/>
          <w:lang w:eastAsia="en-GB"/>
        </w:rPr>
      </w:pPr>
    </w:p>
    <w:p w14:paraId="6CBB74B2" w14:textId="6E78B045" w:rsidR="001D45DB" w:rsidRDefault="001D45DB" w:rsidP="00226E1A">
      <w:pPr>
        <w:rPr>
          <w:rFonts w:ascii="Arial" w:eastAsia="Times New Roman" w:hAnsi="Arial" w:cs="Arial"/>
          <w:b/>
          <w:bCs/>
          <w:color w:val="auto"/>
          <w:lang w:eastAsia="en-GB"/>
        </w:rPr>
      </w:pPr>
    </w:p>
    <w:p w14:paraId="270F3E94" w14:textId="0EE082D1" w:rsidR="001D45DB" w:rsidRDefault="001D45DB" w:rsidP="00226E1A">
      <w:pPr>
        <w:rPr>
          <w:rFonts w:ascii="Arial" w:eastAsia="Times New Roman" w:hAnsi="Arial" w:cs="Arial"/>
          <w:b/>
          <w:bCs/>
          <w:color w:val="auto"/>
          <w:lang w:eastAsia="en-GB"/>
        </w:rPr>
      </w:pPr>
    </w:p>
    <w:p w14:paraId="5607579A" w14:textId="3CDC4936" w:rsidR="001D45DB" w:rsidRDefault="001D45DB" w:rsidP="00226E1A">
      <w:pPr>
        <w:rPr>
          <w:rFonts w:ascii="Arial" w:eastAsia="Times New Roman" w:hAnsi="Arial" w:cs="Arial"/>
          <w:b/>
          <w:bCs/>
          <w:color w:val="auto"/>
          <w:lang w:eastAsia="en-GB"/>
        </w:rPr>
      </w:pPr>
    </w:p>
    <w:p w14:paraId="69F1782D" w14:textId="77777777" w:rsidR="006D4E3D" w:rsidRDefault="006D4E3D" w:rsidP="00226E1A">
      <w:pPr>
        <w:rPr>
          <w:rFonts w:ascii="Arial" w:eastAsia="Times New Roman" w:hAnsi="Arial" w:cs="Arial"/>
          <w:b/>
          <w:bCs/>
          <w:color w:val="auto"/>
          <w:lang w:eastAsia="en-GB"/>
        </w:rPr>
      </w:pPr>
    </w:p>
    <w:p w14:paraId="2F04FA6E" w14:textId="4054EA50" w:rsidR="001D45DB" w:rsidRDefault="001D45DB" w:rsidP="00226E1A">
      <w:pPr>
        <w:rPr>
          <w:rFonts w:ascii="Arial" w:eastAsia="Times New Roman" w:hAnsi="Arial" w:cs="Arial"/>
          <w:b/>
          <w:bCs/>
          <w:color w:val="auto"/>
          <w:lang w:eastAsia="en-GB"/>
        </w:rPr>
      </w:pPr>
    </w:p>
    <w:p w14:paraId="14ADD78E" w14:textId="6C3329EA" w:rsidR="0091122E" w:rsidRDefault="0091122E" w:rsidP="00226E1A">
      <w:pPr>
        <w:rPr>
          <w:rFonts w:ascii="Arial" w:eastAsia="Times New Roman" w:hAnsi="Arial" w:cs="Arial"/>
          <w:b/>
          <w:bCs/>
          <w:color w:val="auto"/>
          <w:lang w:eastAsia="en-GB"/>
        </w:rPr>
      </w:pPr>
    </w:p>
    <w:p w14:paraId="01DBF338" w14:textId="6E0E4C89" w:rsidR="0091122E" w:rsidRDefault="0091122E" w:rsidP="00226E1A">
      <w:pPr>
        <w:rPr>
          <w:rFonts w:ascii="Arial" w:eastAsia="Times New Roman" w:hAnsi="Arial" w:cs="Arial"/>
          <w:b/>
          <w:bCs/>
          <w:color w:val="auto"/>
          <w:lang w:eastAsia="en-GB"/>
        </w:rPr>
      </w:pPr>
    </w:p>
    <w:p w14:paraId="359B0F85" w14:textId="77777777" w:rsidR="0091122E" w:rsidRDefault="0091122E" w:rsidP="00226E1A">
      <w:pPr>
        <w:rPr>
          <w:rFonts w:ascii="Arial" w:eastAsia="Times New Roman" w:hAnsi="Arial" w:cs="Arial"/>
          <w:b/>
          <w:bCs/>
          <w:color w:val="auto"/>
          <w:lang w:eastAsia="en-GB"/>
        </w:rPr>
      </w:pPr>
    </w:p>
    <w:p w14:paraId="2CB1959C" w14:textId="1DDF6755" w:rsidR="0084182A" w:rsidRPr="009F6943" w:rsidRDefault="00995855" w:rsidP="00226E1A">
      <w:pPr>
        <w:rPr>
          <w:rFonts w:ascii="Arial" w:eastAsia="Times New Roman" w:hAnsi="Arial" w:cs="Arial"/>
          <w:b/>
          <w:bCs/>
          <w:color w:val="941F64"/>
          <w:lang w:eastAsia="en-GB"/>
        </w:rPr>
      </w:pPr>
      <w:r w:rsidRPr="0084182A">
        <w:rPr>
          <w:rFonts w:ascii="Arial" w:eastAsia="Times New Roman" w:hAnsi="Arial" w:cs="Arial"/>
          <w:b/>
          <w:bCs/>
          <w:color w:val="auto"/>
          <w:lang w:eastAsia="en-GB"/>
        </w:rPr>
        <w:lastRenderedPageBreak/>
        <w:t>APPENDIX 1</w:t>
      </w:r>
      <w:r w:rsidRPr="0084182A">
        <w:rPr>
          <w:rFonts w:ascii="Arial" w:eastAsia="Times New Roman" w:hAnsi="Arial" w:cs="Arial"/>
          <w:color w:val="auto"/>
          <w:lang w:eastAsia="en-GB"/>
        </w:rPr>
        <w:t xml:space="preserve"> </w:t>
      </w:r>
      <w:r w:rsidR="00B16F3F" w:rsidRPr="009F6943">
        <w:rPr>
          <w:rFonts w:ascii="Arial" w:eastAsia="Times New Roman" w:hAnsi="Arial" w:cs="Arial"/>
          <w:b/>
          <w:bCs/>
          <w:color w:val="auto"/>
          <w:lang w:eastAsia="en-GB"/>
        </w:rPr>
        <w:t xml:space="preserve">of the Care Home Report </w:t>
      </w:r>
    </w:p>
    <w:p w14:paraId="03B69F5F" w14:textId="2FFD8A5B" w:rsidR="00995855" w:rsidRPr="0084182A" w:rsidRDefault="00995855" w:rsidP="00995855">
      <w:pPr>
        <w:keepNext/>
        <w:tabs>
          <w:tab w:val="num" w:pos="0"/>
        </w:tabs>
        <w:suppressAutoHyphens/>
        <w:spacing w:after="0" w:line="240" w:lineRule="auto"/>
        <w:outlineLvl w:val="0"/>
        <w:rPr>
          <w:rFonts w:ascii="Arial" w:eastAsia="Times New Roman" w:hAnsi="Arial" w:cs="Arial"/>
          <w:color w:val="auto"/>
          <w:lang w:eastAsia="en-GB"/>
        </w:rPr>
      </w:pPr>
      <w:r w:rsidRPr="0084182A">
        <w:rPr>
          <w:rFonts w:ascii="Arial" w:eastAsia="Times New Roman" w:hAnsi="Arial" w:cs="Arial"/>
          <w:color w:val="auto"/>
          <w:lang w:eastAsia="en-GB"/>
        </w:rPr>
        <w:t>EVIDENCE BASE FOR RETURN ON CAPITAL AND OPERATING PROFIT PARAMETERS</w:t>
      </w:r>
      <w:bookmarkEnd w:id="35"/>
    </w:p>
    <w:p w14:paraId="100CABB9" w14:textId="77777777" w:rsidR="00995855" w:rsidRPr="0084182A" w:rsidRDefault="00995855" w:rsidP="00995855">
      <w:pPr>
        <w:spacing w:after="0" w:line="280" w:lineRule="exact"/>
        <w:jc w:val="both"/>
        <w:rPr>
          <w:rFonts w:ascii="Arial" w:hAnsi="Arial" w:cs="Arial"/>
          <w:color w:val="auto"/>
          <w:lang w:eastAsia="en-GB"/>
        </w:rPr>
      </w:pPr>
    </w:p>
    <w:p w14:paraId="51249220" w14:textId="77777777" w:rsidR="00995855" w:rsidRPr="0084182A" w:rsidRDefault="00995855" w:rsidP="00995855">
      <w:pPr>
        <w:tabs>
          <w:tab w:val="num" w:pos="0"/>
          <w:tab w:val="right" w:pos="9071"/>
        </w:tabs>
        <w:suppressAutoHyphens/>
        <w:spacing w:after="0" w:line="260" w:lineRule="exact"/>
        <w:ind w:right="-34"/>
        <w:jc w:val="both"/>
        <w:outlineLvl w:val="1"/>
        <w:rPr>
          <w:rFonts w:ascii="Arial" w:eastAsia="Times New Roman" w:hAnsi="Arial" w:cs="Arial"/>
          <w:color w:val="auto"/>
          <w:lang w:eastAsia="en-GB"/>
        </w:rPr>
      </w:pPr>
      <w:bookmarkStart w:id="36" w:name="_Toc114240168"/>
      <w:r w:rsidRPr="0084182A">
        <w:rPr>
          <w:rFonts w:ascii="Arial" w:eastAsia="Times New Roman" w:hAnsi="Arial" w:cs="Arial"/>
          <w:color w:val="auto"/>
          <w:lang w:eastAsia="en-GB"/>
        </w:rPr>
        <w:t>A1.1 Introduction</w:t>
      </w:r>
      <w:bookmarkEnd w:id="36"/>
    </w:p>
    <w:p w14:paraId="0306BF21" w14:textId="77777777" w:rsidR="00995855" w:rsidRPr="00995855" w:rsidRDefault="00995855" w:rsidP="00995855">
      <w:pPr>
        <w:spacing w:after="0" w:line="280" w:lineRule="exact"/>
        <w:jc w:val="both"/>
        <w:rPr>
          <w:rFonts w:ascii="Arial" w:hAnsi="Arial" w:cs="Arial"/>
          <w:lang w:eastAsia="en-GB"/>
        </w:rPr>
      </w:pPr>
    </w:p>
    <w:p w14:paraId="34DEFEE0" w14:textId="5E0DA6D1"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Total costs of care services are made up of Operating Costs, derived from responses to validated toolkits, plus the following two items, which DHSC advises may be determined by councils based on available evidence:</w:t>
      </w:r>
    </w:p>
    <w:p w14:paraId="69E49F75" w14:textId="77777777" w:rsidR="00995855" w:rsidRPr="00995855" w:rsidRDefault="00995855" w:rsidP="00995855">
      <w:pPr>
        <w:spacing w:after="0" w:line="280" w:lineRule="exact"/>
        <w:jc w:val="both"/>
        <w:rPr>
          <w:rFonts w:ascii="Arial" w:hAnsi="Arial" w:cs="Arial"/>
          <w:color w:val="auto"/>
          <w:lang w:eastAsia="en-GB"/>
        </w:rPr>
      </w:pPr>
    </w:p>
    <w:p w14:paraId="0884BC45" w14:textId="434D76E7" w:rsidR="00995855" w:rsidRPr="00226E1A" w:rsidRDefault="00995855" w:rsidP="00EC7E75">
      <w:pPr>
        <w:numPr>
          <w:ilvl w:val="0"/>
          <w:numId w:val="5"/>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Return on Capital invested in accommodation assets PLUS return on operations, for care homes (65+); and</w:t>
      </w:r>
    </w:p>
    <w:p w14:paraId="6737660D" w14:textId="77777777" w:rsidR="00995855" w:rsidRPr="00995855" w:rsidRDefault="00995855" w:rsidP="00EC7E75">
      <w:pPr>
        <w:numPr>
          <w:ilvl w:val="0"/>
          <w:numId w:val="5"/>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Return on Operations only for domiciliary care (18+)</w:t>
      </w:r>
    </w:p>
    <w:p w14:paraId="53530064" w14:textId="77777777" w:rsidR="00995855" w:rsidRPr="00995855" w:rsidRDefault="00995855" w:rsidP="00995855">
      <w:pPr>
        <w:spacing w:after="0" w:line="280" w:lineRule="exact"/>
        <w:jc w:val="both"/>
        <w:rPr>
          <w:rFonts w:ascii="Arial" w:hAnsi="Arial" w:cs="Arial"/>
          <w:color w:val="auto"/>
          <w:lang w:eastAsia="en-GB"/>
        </w:rPr>
      </w:pPr>
    </w:p>
    <w:p w14:paraId="3242DAAA"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 xml:space="preserve">After staffing, return on capital is the second largest cost line for care homes and return on operations is the third largest. </w:t>
      </w:r>
    </w:p>
    <w:p w14:paraId="49CB7988" w14:textId="77777777" w:rsidR="00995855" w:rsidRPr="00995855" w:rsidRDefault="00995855" w:rsidP="00995855">
      <w:pPr>
        <w:spacing w:after="0" w:line="280" w:lineRule="exact"/>
        <w:jc w:val="both"/>
        <w:rPr>
          <w:rFonts w:ascii="Arial" w:hAnsi="Arial" w:cs="Arial"/>
          <w:color w:val="auto"/>
          <w:lang w:eastAsia="en-GB"/>
        </w:rPr>
      </w:pPr>
    </w:p>
    <w:p w14:paraId="1E024514" w14:textId="4CC59351"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DHSC guidance on return on capital, published on June 29, 2022, is reproduced in Box 1. Guidance on return on operations is reproduced in Box 2. DHSC guidance is fully consistent with the framework adopted in Laing</w:t>
      </w:r>
      <w:r w:rsidR="0084182A">
        <w:rPr>
          <w:rFonts w:ascii="Arial" w:hAnsi="Arial" w:cs="Arial"/>
          <w:color w:val="auto"/>
          <w:lang w:eastAsia="en-GB"/>
        </w:rPr>
        <w:t xml:space="preserve"> </w:t>
      </w:r>
      <w:r w:rsidRPr="00995855">
        <w:rPr>
          <w:rFonts w:ascii="Arial" w:hAnsi="Arial" w:cs="Arial"/>
          <w:color w:val="auto"/>
          <w:lang w:eastAsia="en-GB"/>
        </w:rPr>
        <w:t>Buisson’s Care Cost Benchmarks model, allowing the latter to be adduced in evidence in the commentary which follows.</w:t>
      </w:r>
    </w:p>
    <w:p w14:paraId="7DA2EEF1" w14:textId="77777777" w:rsidR="00995855" w:rsidRPr="00995855" w:rsidRDefault="00995855" w:rsidP="00995855">
      <w:pPr>
        <w:spacing w:after="0" w:line="280" w:lineRule="exact"/>
        <w:jc w:val="both"/>
        <w:rPr>
          <w:rFonts w:ascii="Arial" w:hAnsi="Arial" w:cs="Arial"/>
          <w:lang w:eastAsia="en-GB"/>
        </w:rPr>
      </w:pPr>
    </w:p>
    <w:tbl>
      <w:tblPr>
        <w:tblStyle w:val="TableGrid"/>
        <w:tblW w:w="0" w:type="auto"/>
        <w:shd w:val="clear" w:color="auto" w:fill="D9D9D9" w:themeFill="background1" w:themeFillShade="D9"/>
        <w:tblLook w:val="04A0" w:firstRow="1" w:lastRow="0" w:firstColumn="1" w:lastColumn="0" w:noHBand="0" w:noVBand="1"/>
      </w:tblPr>
      <w:tblGrid>
        <w:gridCol w:w="9345"/>
      </w:tblGrid>
      <w:tr w:rsidR="00995855" w:rsidRPr="00226E1A" w14:paraId="3B09527B" w14:textId="77777777" w:rsidTr="00995855">
        <w:tc>
          <w:tcPr>
            <w:tcW w:w="13948" w:type="dxa"/>
            <w:shd w:val="clear" w:color="auto" w:fill="D9D9D9" w:themeFill="background1" w:themeFillShade="D9"/>
          </w:tcPr>
          <w:p w14:paraId="6EB57D32" w14:textId="77777777" w:rsidR="00995855" w:rsidRPr="00226E1A" w:rsidRDefault="00995855" w:rsidP="00995855">
            <w:pPr>
              <w:shd w:val="clear" w:color="auto" w:fill="FFFFFF"/>
              <w:tabs>
                <w:tab w:val="num" w:pos="0"/>
                <w:tab w:val="right" w:pos="9071"/>
              </w:tabs>
              <w:suppressAutoHyphens/>
              <w:spacing w:after="0" w:line="260" w:lineRule="exact"/>
              <w:ind w:right="-34"/>
              <w:jc w:val="both"/>
              <w:outlineLvl w:val="2"/>
              <w:rPr>
                <w:rFonts w:ascii="Arial" w:eastAsia="Times New Roman" w:hAnsi="Arial" w:cs="Arial"/>
                <w:b/>
                <w:bCs/>
                <w:color w:val="0B0C0C"/>
                <w:sz w:val="20"/>
                <w:szCs w:val="20"/>
                <w:lang w:eastAsia="en-GB"/>
              </w:rPr>
            </w:pPr>
            <w:bookmarkStart w:id="37" w:name="_Toc114240169"/>
            <w:r w:rsidRPr="00226E1A">
              <w:rPr>
                <w:rFonts w:ascii="Arial" w:eastAsia="Times New Roman" w:hAnsi="Arial" w:cs="Arial"/>
                <w:b/>
                <w:bCs/>
                <w:color w:val="0B0C0C"/>
                <w:sz w:val="20"/>
                <w:szCs w:val="20"/>
                <w:lang w:eastAsia="en-GB"/>
              </w:rPr>
              <w:t>Box 1 Return on Capital (care homes only)</w:t>
            </w:r>
            <w:bookmarkEnd w:id="37"/>
          </w:p>
          <w:p w14:paraId="4390EBDD"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Care home cost of care exercises will require local authorities to specify the amounts that they have allowed for both returns on capital and return on operations (expressed as pounds per resident per week, or pounds per contact hour). This is different from a 'whole business return on capital, which includes the return on operations within the return on capital.</w:t>
            </w:r>
          </w:p>
          <w:p w14:paraId="29B54B23"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Return on capital is a judgement rather than hard science, and as described below, the local authority should retain the flexibility to vary the return on capital paid to any individual provider, but the following overarching principles are relevant.</w:t>
            </w:r>
          </w:p>
          <w:p w14:paraId="2B104CFE"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Investment by nature involves risk. The cost of capital is the return that investors require to invest in a business. Within the care home market, return on capital payments within the care fee encourages new investors to invest in care home land and buildings and keep existing capital invested in social care rather than investing in another business with similar risk. They may cover payments such as rent and mortgages. They are an important consideration for the full economic cost of running a care home and apply to all care home providers as made clear by CMA (2017).</w:t>
            </w:r>
          </w:p>
          <w:p w14:paraId="2B66667F"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Return on capital is an important consideration for the impact of section 18(3), as it is one of the main fixed costs in a care home and to some extent determines who is paying for those fixed costs.</w:t>
            </w:r>
          </w:p>
          <w:p w14:paraId="1276CEC9"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Nevertheless, return on capital is not a hard entitlement nor is it fully objective. There is judgement involved in setting the amounts included in the cost of care exercise, and further judgement when setting the amounts for any particular provider. The amounts included in the cost of care exercise are not intended to be fixed across all providers in the local authority; the amount paid to any one provider is a judgement according to considerations such as area and building type. It is important to balance spending on return on capital with other potential uses of public money in meeting care needs.</w:t>
            </w:r>
          </w:p>
          <w:p w14:paraId="72E7B4C8"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 xml:space="preserve">It is important to remember that return on capital may in some cases be reinvested in the business. This can make their business more desirable to the market in future, and help the </w:t>
            </w:r>
            <w:r w:rsidRPr="00226E1A">
              <w:rPr>
                <w:rFonts w:ascii="Arial" w:eastAsia="Times New Roman" w:hAnsi="Arial" w:cs="Arial"/>
                <w:color w:val="0B0C0C"/>
                <w:sz w:val="20"/>
                <w:szCs w:val="20"/>
                <w:lang w:eastAsia="en-GB"/>
              </w:rPr>
              <w:lastRenderedPageBreak/>
              <w:t>market develop more generally, for example by improving quality, improving efficiency, serving more people, or moving into new types of care.</w:t>
            </w:r>
          </w:p>
          <w:p w14:paraId="3E0F4C99"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While they involve judgement, the amounts included in the cost of care exercise will need to be defensible, with the evidence that has informed them set out. The CMA (2017) suggest the cost of capital is calculated as the product of both:</w:t>
            </w:r>
          </w:p>
          <w:p w14:paraId="6BFA71CE" w14:textId="77777777" w:rsidR="00995855" w:rsidRPr="00226E1A" w:rsidRDefault="00995855" w:rsidP="00EC7E75">
            <w:pPr>
              <w:numPr>
                <w:ilvl w:val="1"/>
                <w:numId w:val="2"/>
              </w:numPr>
              <w:shd w:val="clear" w:color="auto" w:fill="FFFFFF"/>
              <w:spacing w:after="0" w:line="240" w:lineRule="auto"/>
              <w:ind w:left="204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(a) the value of the assets invested in the care home</w:t>
            </w:r>
          </w:p>
          <w:p w14:paraId="01ECDF14" w14:textId="77777777" w:rsidR="00995855" w:rsidRPr="00226E1A" w:rsidRDefault="00995855" w:rsidP="00EC7E75">
            <w:pPr>
              <w:numPr>
                <w:ilvl w:val="1"/>
                <w:numId w:val="2"/>
              </w:numPr>
              <w:shd w:val="clear" w:color="auto" w:fill="FFFFFF"/>
              <w:spacing w:after="0" w:line="240" w:lineRule="auto"/>
              <w:ind w:left="204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(b) the required percentage annual return on capital</w:t>
            </w:r>
          </w:p>
          <w:p w14:paraId="7736C3D3" w14:textId="77777777" w:rsidR="00995855" w:rsidRPr="00226E1A" w:rsidRDefault="00995855" w:rsidP="00EC7E75">
            <w:pPr>
              <w:numPr>
                <w:ilvl w:val="0"/>
                <w:numId w:val="2"/>
              </w:numPr>
              <w:shd w:val="clear" w:color="auto" w:fill="FFFFFF"/>
              <w:spacing w:after="0" w:line="240" w:lineRule="auto"/>
              <w:ind w:left="1020"/>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There are several approaches to estimate a) and b) above, although in general, the value of assets used in the cost of capital calculation should reflect the market value of those assets. This is where local authorities may find it helpful to adopt multiple approaches to triangulate and validate their returns. For example, freehold valuations of land and buildings that reflect what those assets could be sold for as an alternative to continuing to use them within the care business.</w:t>
            </w:r>
          </w:p>
          <w:p w14:paraId="0B037363"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Cost-of-care exercises should be clear about how their reported return on capital values have been calculated. Approaches including (but not limited to) those below can inform a local authority's overall judgment on the level of return on capital reported as part of its cost of care exercise. The methods below reflect that property prices and rents, and therefore justifiable levels of return on capital, vary substantially between local authorities. As discussed above, local authorities may wish to flex the return on capital value for different care homes in their area.</w:t>
            </w:r>
          </w:p>
          <w:p w14:paraId="1E6E5F94"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u w:val="single"/>
                <w:lang w:eastAsia="en-GB"/>
              </w:rPr>
            </w:pPr>
            <w:r w:rsidRPr="00226E1A">
              <w:rPr>
                <w:rFonts w:ascii="Arial" w:eastAsia="Times New Roman" w:hAnsi="Arial" w:cs="Arial"/>
                <w:color w:val="0B0C0C"/>
                <w:sz w:val="20"/>
                <w:szCs w:val="20"/>
                <w:u w:val="single"/>
                <w:lang w:eastAsia="en-GB"/>
              </w:rPr>
              <w:t>Potential approach 1</w:t>
            </w:r>
          </w:p>
          <w:p w14:paraId="0B55769A"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Providers should be asked to state the current freehold value of their care home, and the median freehold value per bed can then be calculated for the local authority conducting the exercise. There is a second-hand market for care homes which can provide a sense check. A percentage rental yield can then be applied to the freehold value per bed. For example, the commercial estate agents Knight Frank cite a 5.5% yield for core care home stock (note that it is a lower 4% for prime stock and 3.5% for super prime stock). For example, consider a local authority with a median freehold valuation of £60,000 per bed. The cost of care exercise could report a return on capital of 5.5% * £60,000 / 52 weeks = £63 per resident per week.</w:t>
            </w:r>
          </w:p>
          <w:p w14:paraId="68B3B082"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u w:val="single"/>
                <w:lang w:eastAsia="en-GB"/>
              </w:rPr>
            </w:pPr>
            <w:r w:rsidRPr="00226E1A">
              <w:rPr>
                <w:rFonts w:ascii="Arial" w:eastAsia="Times New Roman" w:hAnsi="Arial" w:cs="Arial"/>
                <w:color w:val="0B0C0C"/>
                <w:sz w:val="20"/>
                <w:szCs w:val="20"/>
                <w:u w:val="single"/>
                <w:lang w:eastAsia="en-GB"/>
              </w:rPr>
              <w:t>Potential approach 2</w:t>
            </w:r>
          </w:p>
          <w:p w14:paraId="50875EC4"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Local Housing Allowance (LHA) is paid to Housing Benefit recipients to support the cost of the rent. The rates are set at the 30th percentile of local rents. The one-bedroom rate of LHA (minus fixtures/fittings/repairs/maintenance can arguably be used as a proxy for the property rental element within a local authority. This is because whilst a one-bedroom flat has features that are care home does not, such as a kitchen in every flat, a care home has many communal areas that the flat would not have. The LHA rates are paid at Broad Rental Market Area (BRMA) level, and several of these areas may overlap within the local authority's boundaries. For example, consider a local authority with an average one-bedroom LHA rate of £130 per week, and fixtures/fittings/maintenance of £30 per week, the cost of care exercise could report a return on capital of £100 per resident per week.​</w:t>
            </w:r>
          </w:p>
          <w:p w14:paraId="0B0E34B9" w14:textId="7F248BFB" w:rsidR="00995855" w:rsidRPr="00226E1A" w:rsidRDefault="00995855" w:rsidP="0084182A">
            <w:pPr>
              <w:suppressAutoHyphens/>
              <w:spacing w:after="0" w:line="240" w:lineRule="auto"/>
              <w:rPr>
                <w:rFonts w:ascii="Arial" w:eastAsia="Times New Roman" w:hAnsi="Arial" w:cs="Arial"/>
                <w:color w:val="auto"/>
                <w:sz w:val="20"/>
                <w:szCs w:val="20"/>
                <w:lang w:eastAsia="en-GB"/>
              </w:rPr>
            </w:pPr>
            <w:r w:rsidRPr="00226E1A">
              <w:rPr>
                <w:rFonts w:ascii="Arial" w:eastAsia="Times New Roman" w:hAnsi="Arial" w:cs="Arial"/>
                <w:color w:val="auto"/>
                <w:sz w:val="20"/>
                <w:szCs w:val="20"/>
                <w:lang w:eastAsia="en-GB"/>
              </w:rPr>
              <w:t xml:space="preserve">Source: Market Sustainability and Fair Cost of Care Fund 2022 to 2023: guidance published </w:t>
            </w:r>
            <w:r w:rsidRPr="00226E1A">
              <w:rPr>
                <w:rFonts w:ascii="Arial" w:eastAsia="Times New Roman" w:hAnsi="Arial" w:cs="Arial"/>
                <w:color w:val="0B0C0C"/>
                <w:sz w:val="20"/>
                <w:szCs w:val="20"/>
                <w:lang w:eastAsia="en-GB"/>
              </w:rPr>
              <w:t>25 August</w:t>
            </w:r>
            <w:r w:rsidRPr="00226E1A">
              <w:rPr>
                <w:rFonts w:ascii="Arial" w:eastAsia="Times New Roman" w:hAnsi="Arial" w:cs="Arial"/>
                <w:color w:val="auto"/>
                <w:sz w:val="20"/>
                <w:szCs w:val="20"/>
                <w:lang w:eastAsia="en-GB"/>
              </w:rPr>
              <w:t xml:space="preserve">. </w:t>
            </w:r>
            <w:hyperlink r:id="rId13" w:history="1">
              <w:r w:rsidR="00BE2ACF" w:rsidRPr="00FE6C07">
                <w:rPr>
                  <w:rStyle w:val="Hyperlink"/>
                  <w:rFonts w:ascii="Arial" w:eastAsia="Times New Roman" w:hAnsi="Arial" w:cs="Arial"/>
                  <w:sz w:val="20"/>
                  <w:szCs w:val="20"/>
                  <w:lang w:eastAsia="en-GB"/>
                </w:rPr>
                <w:t>https://www.gov.uk/government/publications/market-sustainability-and-fair-cost-of-care-fund-2022-to-2023-guidance</w:t>
              </w:r>
            </w:hyperlink>
            <w:r w:rsidR="009D08E4">
              <w:rPr>
                <w:rFonts w:ascii="Arial" w:eastAsia="Times New Roman" w:hAnsi="Arial" w:cs="Arial"/>
                <w:color w:val="auto"/>
                <w:sz w:val="20"/>
                <w:szCs w:val="20"/>
                <w:u w:val="single"/>
                <w:lang w:eastAsia="en-GB"/>
              </w:rPr>
              <w:t xml:space="preserve">  </w:t>
            </w:r>
          </w:p>
        </w:tc>
      </w:tr>
    </w:tbl>
    <w:p w14:paraId="04E106A8" w14:textId="77777777" w:rsidR="00995855" w:rsidRPr="00995855" w:rsidRDefault="00995855" w:rsidP="00995855">
      <w:pPr>
        <w:spacing w:after="0" w:line="280" w:lineRule="exact"/>
        <w:jc w:val="both"/>
        <w:rPr>
          <w:rFonts w:ascii="Arial" w:hAnsi="Arial" w:cs="Arial"/>
          <w:lang w:eastAsia="en-GB"/>
        </w:rPr>
      </w:pPr>
    </w:p>
    <w:p w14:paraId="47C90BF6" w14:textId="77777777" w:rsidR="00995855" w:rsidRPr="00995855" w:rsidRDefault="00995855" w:rsidP="00995855">
      <w:pPr>
        <w:spacing w:after="0" w:line="280" w:lineRule="exact"/>
        <w:jc w:val="both"/>
        <w:rPr>
          <w:rFonts w:ascii="Arial" w:hAnsi="Arial" w:cs="Arial"/>
          <w:lang w:eastAsia="en-GB"/>
        </w:rPr>
      </w:pPr>
    </w:p>
    <w:tbl>
      <w:tblPr>
        <w:tblStyle w:val="TableGrid"/>
        <w:tblW w:w="0" w:type="auto"/>
        <w:tblLook w:val="04A0" w:firstRow="1" w:lastRow="0" w:firstColumn="1" w:lastColumn="0" w:noHBand="0" w:noVBand="1"/>
      </w:tblPr>
      <w:tblGrid>
        <w:gridCol w:w="9345"/>
      </w:tblGrid>
      <w:tr w:rsidR="00995855" w:rsidRPr="00226E1A" w14:paraId="4A0A466E" w14:textId="77777777" w:rsidTr="00995855">
        <w:tc>
          <w:tcPr>
            <w:tcW w:w="13948" w:type="dxa"/>
          </w:tcPr>
          <w:p w14:paraId="6D736D3E" w14:textId="2ED46B3C" w:rsidR="00995855" w:rsidRPr="00226E1A" w:rsidRDefault="00995855" w:rsidP="0084182A">
            <w:pPr>
              <w:shd w:val="clear" w:color="auto" w:fill="FFFFFF"/>
              <w:tabs>
                <w:tab w:val="num" w:pos="0"/>
                <w:tab w:val="right" w:pos="9071"/>
              </w:tabs>
              <w:suppressAutoHyphens/>
              <w:spacing w:after="0" w:line="260" w:lineRule="exact"/>
              <w:ind w:right="-34"/>
              <w:jc w:val="both"/>
              <w:outlineLvl w:val="2"/>
              <w:rPr>
                <w:rFonts w:ascii="Arial" w:eastAsia="Times New Roman" w:hAnsi="Arial" w:cs="Arial"/>
                <w:b/>
                <w:bCs/>
                <w:color w:val="0B0C0C"/>
                <w:sz w:val="20"/>
                <w:szCs w:val="20"/>
                <w:lang w:eastAsia="en-GB"/>
              </w:rPr>
            </w:pPr>
            <w:bookmarkStart w:id="38" w:name="_Toc114240170"/>
            <w:r w:rsidRPr="00226E1A">
              <w:rPr>
                <w:rFonts w:ascii="Arial" w:eastAsia="Times New Roman" w:hAnsi="Arial" w:cs="Arial"/>
                <w:b/>
                <w:bCs/>
                <w:color w:val="0B0C0C"/>
                <w:sz w:val="20"/>
                <w:szCs w:val="20"/>
                <w:lang w:eastAsia="en-GB"/>
              </w:rPr>
              <w:t>Box 2 Return on Operations (care homes and domiciliary care)</w:t>
            </w:r>
            <w:bookmarkEnd w:id="38"/>
            <w:r w:rsidRPr="00226E1A">
              <w:rPr>
                <w:rFonts w:ascii="Arial" w:eastAsia="Times New Roman" w:hAnsi="Arial" w:cs="Arial"/>
                <w:color w:val="0B0C0C"/>
                <w:sz w:val="20"/>
                <w:szCs w:val="20"/>
                <w:lang w:eastAsia="en-GB"/>
              </w:rPr>
              <w:t>The return on operations amounts to a reward and incentive for operating the care and support services in a care home, and as a reward and incentive for the whole business of domiciliary care. It is important to note that in domiciliary care, return on operations is the only source of profit (there is no return on capital nor any capital gains from the property). It is therefore particularly important to understand the costs of domiciliary care providers and how they are changing, to ensure that profits remain at a sufficient level.</w:t>
            </w:r>
          </w:p>
          <w:p w14:paraId="0032DA4A"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lastRenderedPageBreak/>
              <w:t>Return on operations can be calculated as a percentage markup on operations and head office costs.</w:t>
            </w:r>
          </w:p>
          <w:p w14:paraId="39ECF89D" w14:textId="77777777" w:rsidR="00995855" w:rsidRPr="00226E1A" w:rsidRDefault="00995855" w:rsidP="00995855">
            <w:pPr>
              <w:shd w:val="clear" w:color="auto" w:fill="FFFFFF"/>
              <w:suppressAutoHyphens/>
              <w:spacing w:before="300" w:after="300" w:line="240" w:lineRule="auto"/>
              <w:rPr>
                <w:rFonts w:ascii="Arial" w:eastAsia="Times New Roman" w:hAnsi="Arial" w:cs="Arial"/>
                <w:color w:val="0B0C0C"/>
                <w:sz w:val="20"/>
                <w:szCs w:val="20"/>
                <w:lang w:eastAsia="en-GB"/>
              </w:rPr>
            </w:pPr>
            <w:r w:rsidRPr="00226E1A">
              <w:rPr>
                <w:rFonts w:ascii="Arial" w:eastAsia="Times New Roman" w:hAnsi="Arial" w:cs="Arial"/>
                <w:color w:val="0B0C0C"/>
                <w:sz w:val="20"/>
                <w:szCs w:val="20"/>
                <w:lang w:eastAsia="en-GB"/>
              </w:rPr>
              <w:t>As noted for the return on capital above, providers can choose to reinvest part of their return on operations into the business. This can make their business more desirable to the market in future, and help the market develop more generally, for example by improving quality, improving efficiency, serving more people, or moving into new types of care.</w:t>
            </w:r>
          </w:p>
          <w:p w14:paraId="4630D6B7" w14:textId="697C64DD" w:rsidR="0084182A" w:rsidRPr="00226E1A" w:rsidRDefault="00995855" w:rsidP="00995855">
            <w:pPr>
              <w:suppressAutoHyphens/>
              <w:spacing w:after="0" w:line="240" w:lineRule="auto"/>
              <w:rPr>
                <w:rFonts w:ascii="Arial" w:eastAsia="Times New Roman" w:hAnsi="Arial" w:cs="Arial"/>
                <w:color w:val="auto"/>
                <w:sz w:val="20"/>
                <w:szCs w:val="20"/>
                <w:u w:val="single"/>
                <w:lang w:eastAsia="en-GB"/>
              </w:rPr>
            </w:pPr>
            <w:r w:rsidRPr="00226E1A">
              <w:rPr>
                <w:rFonts w:ascii="Arial" w:eastAsia="Times New Roman" w:hAnsi="Arial" w:cs="Arial"/>
                <w:color w:val="auto"/>
                <w:sz w:val="20"/>
                <w:szCs w:val="20"/>
                <w:lang w:eastAsia="en-GB"/>
              </w:rPr>
              <w:t xml:space="preserve">Source: Market Sustainability and Fair Cost of Care Fund 2022 to 2023: guidance published </w:t>
            </w:r>
            <w:r w:rsidRPr="00226E1A">
              <w:rPr>
                <w:rFonts w:ascii="Arial" w:eastAsia="Times New Roman" w:hAnsi="Arial" w:cs="Arial"/>
                <w:color w:val="0B0C0C"/>
                <w:sz w:val="20"/>
                <w:szCs w:val="20"/>
                <w:lang w:eastAsia="en-GB"/>
              </w:rPr>
              <w:t>25 August</w:t>
            </w:r>
            <w:r w:rsidRPr="00226E1A">
              <w:rPr>
                <w:rFonts w:ascii="Arial" w:eastAsia="Times New Roman" w:hAnsi="Arial" w:cs="Arial"/>
                <w:color w:val="auto"/>
                <w:sz w:val="20"/>
                <w:szCs w:val="20"/>
                <w:lang w:eastAsia="en-GB"/>
              </w:rPr>
              <w:t xml:space="preserve">. </w:t>
            </w:r>
            <w:hyperlink r:id="rId14" w:history="1">
              <w:r w:rsidR="00BE2ACF" w:rsidRPr="00FE6C07">
                <w:rPr>
                  <w:rStyle w:val="Hyperlink"/>
                  <w:rFonts w:ascii="Arial" w:eastAsia="Times New Roman" w:hAnsi="Arial" w:cs="Arial"/>
                  <w:sz w:val="20"/>
                  <w:szCs w:val="20"/>
                  <w:lang w:eastAsia="en-GB"/>
                </w:rPr>
                <w:t>https://www.gov.uk/government/publications/market-sustainability-and-fair-cost-of-care-fund-2022-to-2023-guidance</w:t>
              </w:r>
            </w:hyperlink>
            <w:r w:rsidR="0084182A" w:rsidRPr="00226E1A">
              <w:rPr>
                <w:rFonts w:ascii="Arial" w:eastAsia="Times New Roman" w:hAnsi="Arial" w:cs="Arial"/>
                <w:color w:val="auto"/>
                <w:sz w:val="20"/>
                <w:szCs w:val="20"/>
                <w:u w:val="single"/>
                <w:lang w:eastAsia="en-GB"/>
              </w:rPr>
              <w:t xml:space="preserve"> </w:t>
            </w:r>
          </w:p>
          <w:p w14:paraId="5219FCF6" w14:textId="77777777" w:rsidR="00995855" w:rsidRPr="00226E1A" w:rsidRDefault="00995855" w:rsidP="00995855">
            <w:pPr>
              <w:suppressAutoHyphens/>
              <w:spacing w:after="0" w:line="280" w:lineRule="exact"/>
              <w:jc w:val="both"/>
              <w:rPr>
                <w:rFonts w:ascii="Arial" w:eastAsia="Times New Roman" w:hAnsi="Arial" w:cs="Arial"/>
                <w:sz w:val="20"/>
                <w:szCs w:val="20"/>
                <w:lang w:eastAsia="en-GB"/>
              </w:rPr>
            </w:pPr>
          </w:p>
        </w:tc>
      </w:tr>
    </w:tbl>
    <w:p w14:paraId="3EE03BC9" w14:textId="77777777" w:rsidR="00995855" w:rsidRPr="00995855" w:rsidRDefault="00995855" w:rsidP="00995855">
      <w:pPr>
        <w:rPr>
          <w:rFonts w:ascii="Arial" w:hAnsi="Arial" w:cs="Arial"/>
        </w:rPr>
      </w:pPr>
    </w:p>
    <w:p w14:paraId="3B626C5B" w14:textId="77777777" w:rsidR="00995855" w:rsidRPr="0084182A" w:rsidRDefault="00995855" w:rsidP="00995855">
      <w:pPr>
        <w:tabs>
          <w:tab w:val="num" w:pos="0"/>
          <w:tab w:val="right" w:pos="9071"/>
        </w:tabs>
        <w:suppressAutoHyphens/>
        <w:spacing w:after="0" w:line="280" w:lineRule="exact"/>
        <w:jc w:val="both"/>
        <w:outlineLvl w:val="1"/>
        <w:rPr>
          <w:rFonts w:ascii="Arial" w:eastAsia="Times New Roman" w:hAnsi="Arial" w:cs="Arial"/>
          <w:color w:val="auto"/>
          <w:lang w:eastAsia="en-GB"/>
        </w:rPr>
      </w:pPr>
      <w:bookmarkStart w:id="39" w:name="_Toc114240171"/>
      <w:r w:rsidRPr="0084182A">
        <w:rPr>
          <w:rFonts w:ascii="Arial" w:eastAsia="Times New Roman" w:hAnsi="Arial" w:cs="Arial"/>
          <w:color w:val="auto"/>
          <w:lang w:eastAsia="en-GB"/>
        </w:rPr>
        <w:t>A1.2 Care homes</w:t>
      </w:r>
      <w:bookmarkEnd w:id="39"/>
    </w:p>
    <w:p w14:paraId="49E3ACD5" w14:textId="77777777" w:rsidR="00995855" w:rsidRPr="00995855" w:rsidRDefault="00995855" w:rsidP="00995855">
      <w:pPr>
        <w:spacing w:after="0" w:line="280" w:lineRule="exact"/>
        <w:jc w:val="both"/>
        <w:rPr>
          <w:rFonts w:ascii="Arial" w:hAnsi="Arial" w:cs="Arial"/>
          <w:lang w:eastAsia="en-GB"/>
        </w:rPr>
      </w:pPr>
    </w:p>
    <w:p w14:paraId="3E6A560C" w14:textId="5BC34644" w:rsidR="00995855" w:rsidRPr="00995855" w:rsidRDefault="0084182A" w:rsidP="00995855">
      <w:pPr>
        <w:spacing w:after="0" w:line="280" w:lineRule="exact"/>
        <w:jc w:val="both"/>
        <w:rPr>
          <w:rFonts w:ascii="Arial" w:hAnsi="Arial" w:cs="Arial"/>
          <w:color w:val="auto"/>
          <w:lang w:eastAsia="en-GB"/>
        </w:rPr>
      </w:pPr>
      <w:r w:rsidRPr="00995855">
        <w:rPr>
          <w:rFonts w:ascii="Arial" w:hAnsi="Arial" w:cs="Arial"/>
          <w:color w:val="auto"/>
          <w:lang w:eastAsia="en-GB"/>
        </w:rPr>
        <w:t>LaingBuisson</w:t>
      </w:r>
      <w:r w:rsidR="00913E1D">
        <w:rPr>
          <w:rFonts w:ascii="Arial" w:hAnsi="Arial" w:cs="Arial"/>
          <w:color w:val="auto"/>
          <w:lang w:eastAsia="en-GB"/>
        </w:rPr>
        <w:t xml:space="preserve"> has drawn on its own</w:t>
      </w:r>
      <w:r w:rsidR="00995855" w:rsidRPr="00995855">
        <w:rPr>
          <w:rFonts w:ascii="Arial" w:hAnsi="Arial" w:cs="Arial"/>
          <w:color w:val="auto"/>
          <w:lang w:eastAsia="en-GB"/>
        </w:rPr>
        <w:t xml:space="preserve"> </w:t>
      </w:r>
      <w:r w:rsidR="00995855" w:rsidRPr="00995855">
        <w:rPr>
          <w:rFonts w:ascii="Arial" w:hAnsi="Arial" w:cs="Arial"/>
          <w:i/>
          <w:iCs/>
          <w:color w:val="auto"/>
          <w:lang w:eastAsia="en-GB"/>
        </w:rPr>
        <w:t>Care Cost Benchmarks</w:t>
      </w:r>
      <w:r w:rsidR="00995855" w:rsidRPr="00995855">
        <w:rPr>
          <w:rFonts w:ascii="Arial" w:hAnsi="Arial" w:cs="Arial"/>
          <w:color w:val="auto"/>
          <w:lang w:eastAsia="en-GB"/>
        </w:rPr>
        <w:t xml:space="preserve"> model </w:t>
      </w:r>
      <w:r w:rsidR="00913E1D">
        <w:rPr>
          <w:rFonts w:ascii="Arial" w:hAnsi="Arial" w:cs="Arial"/>
          <w:color w:val="auto"/>
          <w:lang w:eastAsia="en-GB"/>
        </w:rPr>
        <w:t xml:space="preserve">which </w:t>
      </w:r>
      <w:r w:rsidR="00995855" w:rsidRPr="00995855">
        <w:rPr>
          <w:rFonts w:ascii="Arial" w:hAnsi="Arial" w:cs="Arial"/>
          <w:color w:val="auto"/>
          <w:lang w:eastAsia="en-GB"/>
        </w:rPr>
        <w:t xml:space="preserve">contains a methodology </w:t>
      </w:r>
      <w:r w:rsidR="00913E1D">
        <w:rPr>
          <w:rFonts w:ascii="Arial" w:hAnsi="Arial" w:cs="Arial"/>
          <w:color w:val="auto"/>
          <w:lang w:eastAsia="en-GB"/>
        </w:rPr>
        <w:t xml:space="preserve">they </w:t>
      </w:r>
      <w:r w:rsidR="00995855" w:rsidRPr="00995855">
        <w:rPr>
          <w:rFonts w:ascii="Arial" w:hAnsi="Arial" w:cs="Arial"/>
          <w:color w:val="auto"/>
          <w:lang w:eastAsia="en-GB"/>
        </w:rPr>
        <w:t xml:space="preserve"> believe </w:t>
      </w:r>
      <w:r w:rsidR="00995855" w:rsidRPr="00995855">
        <w:rPr>
          <w:rFonts w:ascii="Arial" w:hAnsi="Arial" w:cs="Arial"/>
          <w:color w:val="auto"/>
        </w:rPr>
        <w:t xml:space="preserve">comes as close as possible to setting an objective, market-related norms for return on capital and return on operations for care homes. </w:t>
      </w:r>
    </w:p>
    <w:p w14:paraId="1073EF11" w14:textId="77777777" w:rsidR="00995855" w:rsidRPr="00995855" w:rsidRDefault="00995855" w:rsidP="00995855">
      <w:pPr>
        <w:spacing w:after="0" w:line="280" w:lineRule="exact"/>
        <w:jc w:val="both"/>
        <w:rPr>
          <w:rFonts w:ascii="Arial" w:hAnsi="Arial" w:cs="Arial"/>
          <w:color w:val="auto"/>
          <w:lang w:eastAsia="en-GB"/>
        </w:rPr>
      </w:pPr>
    </w:p>
    <w:p w14:paraId="4AA71772"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The starting point of the methodology is to determine a reasonable, evidence-based ‘whole business’ return for a sustainable care home capable of being rated Good by CQC. The whole business return can then be divided into two component parts, return on capital, and return on operations, using available evidence.</w:t>
      </w:r>
    </w:p>
    <w:p w14:paraId="073B5A11" w14:textId="77777777" w:rsidR="00995855" w:rsidRPr="00995855" w:rsidRDefault="00995855" w:rsidP="00995855">
      <w:pPr>
        <w:spacing w:after="0" w:line="280" w:lineRule="exact"/>
        <w:jc w:val="both"/>
        <w:rPr>
          <w:rFonts w:ascii="Arial" w:hAnsi="Arial" w:cs="Arial"/>
          <w:lang w:eastAsia="en-GB"/>
        </w:rPr>
      </w:pPr>
    </w:p>
    <w:p w14:paraId="0AFAF600" w14:textId="77777777" w:rsidR="00995855" w:rsidRPr="0084182A"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40" w:name="_Toc114240172"/>
      <w:r w:rsidRPr="0084182A">
        <w:rPr>
          <w:rFonts w:ascii="Arial" w:eastAsia="Times New Roman" w:hAnsi="Arial" w:cs="Arial"/>
          <w:color w:val="auto"/>
          <w:lang w:eastAsia="en-GB"/>
        </w:rPr>
        <w:t>A1.2.1 Whole business return for care homes</w:t>
      </w:r>
      <w:bookmarkEnd w:id="40"/>
    </w:p>
    <w:p w14:paraId="58BC1DD6" w14:textId="77777777" w:rsidR="00995855" w:rsidRPr="00995855" w:rsidRDefault="00995855" w:rsidP="00995855">
      <w:pPr>
        <w:spacing w:after="0" w:line="280" w:lineRule="exact"/>
        <w:jc w:val="both"/>
        <w:rPr>
          <w:rFonts w:ascii="Arial" w:hAnsi="Arial" w:cs="Arial"/>
          <w:lang w:eastAsia="en-GB"/>
        </w:rPr>
      </w:pPr>
    </w:p>
    <w:p w14:paraId="43D191A7"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Market behaviour is the best indicator of what the benchmark for a reasonable ‘whole business’ return on investment should be. LaingBuisson has approached this question by seeking advice from major business transfer agents and property funds active in the care home space. The current consensus is that good-quality, modern care homes sell at a multiple of about 9x sustainable EBITDARM</w:t>
      </w:r>
      <w:r w:rsidRPr="00995855">
        <w:rPr>
          <w:rFonts w:ascii="Arial" w:hAnsi="Arial" w:cs="Arial"/>
          <w:color w:val="auto"/>
          <w:vertAlign w:val="superscript"/>
        </w:rPr>
        <w:footnoteReference w:id="10"/>
      </w:r>
      <w:r w:rsidRPr="00995855">
        <w:rPr>
          <w:rFonts w:ascii="Arial" w:hAnsi="Arial" w:cs="Arial"/>
          <w:color w:val="auto"/>
        </w:rPr>
        <w:t xml:space="preserve">. A ‘profit purchase’ multiple of 9x implies in turn that investors are typically seeking a ‘whole business’ return of 11% per annum (that is, the reciprocal of 9). </w:t>
      </w:r>
      <w:r w:rsidRPr="00995855">
        <w:rPr>
          <w:rFonts w:ascii="Arial" w:hAnsi="Arial" w:cs="Arial"/>
          <w:b/>
          <w:bCs/>
          <w:color w:val="auto"/>
        </w:rPr>
        <w:t>Therefore 11% comes as close as possible to an objective, market-related norm for expected whole business returns at the individual home level</w:t>
      </w:r>
      <w:r w:rsidRPr="00995855">
        <w:rPr>
          <w:rFonts w:ascii="Arial" w:hAnsi="Arial" w:cs="Arial"/>
          <w:b/>
          <w:bCs/>
          <w:color w:val="auto"/>
          <w:vertAlign w:val="superscript"/>
        </w:rPr>
        <w:footnoteReference w:id="11"/>
      </w:r>
      <w:r w:rsidRPr="00995855">
        <w:rPr>
          <w:rFonts w:ascii="Arial" w:hAnsi="Arial" w:cs="Arial"/>
          <w:b/>
          <w:bCs/>
          <w:color w:val="auto"/>
        </w:rPr>
        <w:t>.</w:t>
      </w:r>
    </w:p>
    <w:p w14:paraId="59CD979F" w14:textId="77777777" w:rsidR="00995855" w:rsidRPr="00995855" w:rsidRDefault="00995855" w:rsidP="00995855">
      <w:pPr>
        <w:spacing w:after="0" w:line="280" w:lineRule="exact"/>
        <w:jc w:val="both"/>
        <w:rPr>
          <w:rFonts w:ascii="Arial" w:hAnsi="Arial" w:cs="Arial"/>
          <w:color w:val="auto"/>
        </w:rPr>
      </w:pPr>
    </w:p>
    <w:p w14:paraId="467916CA" w14:textId="6E5ABAFC" w:rsidR="00D62D1C" w:rsidRDefault="00995855" w:rsidP="00995855">
      <w:pPr>
        <w:spacing w:after="0" w:line="280" w:lineRule="exact"/>
        <w:jc w:val="both"/>
        <w:rPr>
          <w:rFonts w:ascii="Arial" w:hAnsi="Arial" w:cs="Arial"/>
          <w:color w:val="auto"/>
        </w:rPr>
      </w:pPr>
      <w:r w:rsidRPr="00995855">
        <w:rPr>
          <w:rFonts w:ascii="Arial" w:hAnsi="Arial" w:cs="Arial"/>
          <w:color w:val="auto"/>
        </w:rPr>
        <w:t>One of the merits of the approach described is that it is independent of capital structure. It side-steps the near impossible task of calculating capital costs for an infinite combination of financing options - mortgages, other loans, leases, and the imputed cost of the proprietor’s own capital, or, just as bad, choosing a single capital structure as a ‘standard’ for the purposes of calculating capital costs.</w:t>
      </w:r>
    </w:p>
    <w:p w14:paraId="2522DA84" w14:textId="2E0665B8"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lang w:eastAsia="en-GB"/>
        </w:rPr>
        <w:t>The whole business benchmark rate of return (of 11%) is made up of two components, which are aligned with DHSC guidance:</w:t>
      </w:r>
    </w:p>
    <w:p w14:paraId="4525B6A5" w14:textId="77777777" w:rsidR="00995855" w:rsidRPr="00995855" w:rsidRDefault="00995855" w:rsidP="00995855">
      <w:pPr>
        <w:spacing w:after="0" w:line="280" w:lineRule="exact"/>
        <w:jc w:val="both"/>
        <w:rPr>
          <w:rFonts w:ascii="Arial" w:hAnsi="Arial" w:cs="Arial"/>
          <w:color w:val="auto"/>
          <w:lang w:eastAsia="en-GB"/>
        </w:rPr>
      </w:pPr>
    </w:p>
    <w:p w14:paraId="52DCB6BA" w14:textId="77777777" w:rsidR="00995855" w:rsidRPr="00995855" w:rsidRDefault="00995855" w:rsidP="00EC7E75">
      <w:pPr>
        <w:numPr>
          <w:ilvl w:val="0"/>
          <w:numId w:val="5"/>
        </w:numPr>
        <w:suppressAutoHyphens/>
        <w:spacing w:after="0" w:line="280" w:lineRule="exact"/>
        <w:jc w:val="both"/>
        <w:rPr>
          <w:rFonts w:ascii="Arial" w:eastAsia="Times New Roman" w:hAnsi="Arial" w:cs="Arial"/>
          <w:color w:val="auto"/>
          <w:lang w:eastAsia="en-GB"/>
        </w:rPr>
      </w:pPr>
      <w:bookmarkStart w:id="41" w:name="_Hlk116050090"/>
      <w:r w:rsidRPr="00995855">
        <w:rPr>
          <w:rFonts w:ascii="Arial" w:eastAsia="Times New Roman" w:hAnsi="Arial" w:cs="Arial"/>
          <w:color w:val="auto"/>
          <w:lang w:eastAsia="en-GB"/>
        </w:rPr>
        <w:t>The rate of return on capital tied up in the care home accommodation asset, for which LaingBuisson recommends 6% per annum, see Section A1.2.2.</w:t>
      </w:r>
    </w:p>
    <w:bookmarkEnd w:id="41"/>
    <w:p w14:paraId="785ACECA" w14:textId="77777777" w:rsidR="00995855" w:rsidRPr="00995855" w:rsidRDefault="00995855" w:rsidP="00995855">
      <w:pPr>
        <w:suppressAutoHyphens/>
        <w:spacing w:after="0" w:line="280" w:lineRule="exact"/>
        <w:ind w:left="720"/>
        <w:jc w:val="both"/>
        <w:rPr>
          <w:rFonts w:ascii="Arial" w:eastAsia="Times New Roman" w:hAnsi="Arial" w:cs="Arial"/>
          <w:lang w:eastAsia="en-GB"/>
        </w:rPr>
      </w:pPr>
    </w:p>
    <w:p w14:paraId="4EBC17B0" w14:textId="77777777" w:rsidR="00995855" w:rsidRPr="00995855" w:rsidRDefault="00995855" w:rsidP="00EC7E75">
      <w:pPr>
        <w:numPr>
          <w:ilvl w:val="0"/>
          <w:numId w:val="5"/>
        </w:numPr>
        <w:suppressAutoHyphens/>
        <w:spacing w:after="0" w:line="280" w:lineRule="exact"/>
        <w:jc w:val="both"/>
        <w:rPr>
          <w:rFonts w:ascii="Arial" w:eastAsia="Times New Roman" w:hAnsi="Arial" w:cs="Arial"/>
          <w:color w:val="auto"/>
          <w:lang w:eastAsia="en-GB"/>
        </w:rPr>
      </w:pPr>
      <w:bookmarkStart w:id="42" w:name="_Hlk116050105"/>
      <w:r w:rsidRPr="00995855">
        <w:rPr>
          <w:rFonts w:ascii="Arial" w:eastAsia="Times New Roman" w:hAnsi="Arial" w:cs="Arial"/>
          <w:color w:val="auto"/>
          <w:lang w:eastAsia="en-GB"/>
        </w:rPr>
        <w:t xml:space="preserve">Return on Operations for delivering the care home service, which Laing Buisson recommends should make up the balance of the 11% whole business EBITDARM return at the individual home level, see Section A1.2.3. </w:t>
      </w:r>
    </w:p>
    <w:bookmarkEnd w:id="42"/>
    <w:p w14:paraId="20E5A1F7" w14:textId="77777777" w:rsidR="00995855" w:rsidRPr="00995855" w:rsidRDefault="00995855" w:rsidP="00995855">
      <w:pPr>
        <w:spacing w:after="0" w:line="280" w:lineRule="exact"/>
        <w:jc w:val="both"/>
        <w:rPr>
          <w:rFonts w:ascii="Arial" w:hAnsi="Arial" w:cs="Arial"/>
          <w:color w:val="auto"/>
          <w:lang w:eastAsia="en-GB"/>
        </w:rPr>
      </w:pPr>
    </w:p>
    <w:p w14:paraId="24835135"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The rationale for the split is described in the next two sections.</w:t>
      </w:r>
    </w:p>
    <w:p w14:paraId="5CCF14E0" w14:textId="77777777" w:rsidR="00995855" w:rsidRPr="00995855" w:rsidRDefault="00995855" w:rsidP="00995855">
      <w:pPr>
        <w:spacing w:after="0" w:line="280" w:lineRule="exact"/>
        <w:jc w:val="both"/>
        <w:rPr>
          <w:rFonts w:ascii="Arial" w:hAnsi="Arial" w:cs="Arial"/>
          <w:color w:val="auto"/>
          <w:lang w:eastAsia="en-GB"/>
        </w:rPr>
      </w:pPr>
    </w:p>
    <w:p w14:paraId="0F60BF2D" w14:textId="77777777" w:rsidR="00995855" w:rsidRPr="0084182A"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43" w:name="_Toc114240173"/>
      <w:r w:rsidRPr="0084182A">
        <w:rPr>
          <w:rFonts w:ascii="Arial" w:eastAsia="Times New Roman" w:hAnsi="Arial" w:cs="Arial"/>
          <w:color w:val="auto"/>
          <w:lang w:eastAsia="en-GB"/>
        </w:rPr>
        <w:t>A1.2.2 Return on capital invested in care home accommodation</w:t>
      </w:r>
      <w:bookmarkEnd w:id="43"/>
    </w:p>
    <w:p w14:paraId="0D92E71C" w14:textId="77777777" w:rsidR="00995855" w:rsidRPr="00995855" w:rsidRDefault="00995855" w:rsidP="00995855">
      <w:pPr>
        <w:spacing w:after="0" w:line="280" w:lineRule="exact"/>
        <w:jc w:val="both"/>
        <w:rPr>
          <w:rFonts w:ascii="Arial" w:hAnsi="Arial" w:cs="Arial"/>
          <w:lang w:eastAsia="en-GB"/>
        </w:rPr>
      </w:pPr>
    </w:p>
    <w:p w14:paraId="57B8D4C4" w14:textId="2D7E76A8" w:rsidR="00995855" w:rsidRPr="00995855" w:rsidRDefault="00995855" w:rsidP="00995855">
      <w:pPr>
        <w:shd w:val="clear" w:color="auto" w:fill="FFFFFF"/>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DHSC guidance</w:t>
      </w:r>
      <w:r w:rsidRPr="00995855">
        <w:rPr>
          <w:rFonts w:ascii="Arial" w:eastAsia="Times New Roman" w:hAnsi="Arial" w:cs="Arial"/>
          <w:color w:val="auto"/>
          <w:vertAlign w:val="superscript"/>
          <w:lang w:eastAsia="en-GB"/>
        </w:rPr>
        <w:footnoteReference w:id="12"/>
      </w:r>
      <w:r w:rsidRPr="00995855">
        <w:rPr>
          <w:rFonts w:ascii="Arial" w:eastAsia="Times New Roman" w:hAnsi="Arial" w:cs="Arial"/>
          <w:color w:val="auto"/>
          <w:lang w:eastAsia="en-GB"/>
        </w:rPr>
        <w:t xml:space="preserve"> cites the Competition and Markets Authority’s advice in its 2017 report on the care home market</w:t>
      </w:r>
      <w:r w:rsidRPr="00995855">
        <w:rPr>
          <w:rFonts w:ascii="Arial" w:eastAsia="Times New Roman" w:hAnsi="Arial" w:cs="Arial"/>
          <w:color w:val="auto"/>
          <w:vertAlign w:val="superscript"/>
          <w:lang w:eastAsia="en-GB"/>
        </w:rPr>
        <w:footnoteReference w:id="13"/>
      </w:r>
      <w:r w:rsidRPr="00995855">
        <w:rPr>
          <w:rFonts w:ascii="Arial" w:eastAsia="Times New Roman" w:hAnsi="Arial" w:cs="Arial"/>
          <w:color w:val="auto"/>
          <w:lang w:eastAsia="en-GB"/>
        </w:rPr>
        <w:t xml:space="preserve">, that the cost of capital for care homes should be calculated as the product of a) the </w:t>
      </w:r>
      <w:r w:rsidRPr="00995855">
        <w:rPr>
          <w:rFonts w:ascii="Arial" w:eastAsia="Times New Roman" w:hAnsi="Arial" w:cs="Arial"/>
          <w:b/>
          <w:bCs/>
          <w:color w:val="auto"/>
          <w:lang w:eastAsia="en-GB"/>
        </w:rPr>
        <w:t>value of</w:t>
      </w:r>
      <w:r w:rsidRPr="00995855">
        <w:rPr>
          <w:rFonts w:ascii="Arial" w:eastAsia="Times New Roman" w:hAnsi="Arial" w:cs="Arial"/>
          <w:color w:val="auto"/>
          <w:lang w:eastAsia="en-GB"/>
        </w:rPr>
        <w:t xml:space="preserve"> </w:t>
      </w:r>
      <w:r w:rsidRPr="00995855">
        <w:rPr>
          <w:rFonts w:ascii="Arial" w:eastAsia="Times New Roman" w:hAnsi="Arial" w:cs="Arial"/>
          <w:b/>
          <w:bCs/>
          <w:color w:val="auto"/>
          <w:lang w:eastAsia="en-GB"/>
        </w:rPr>
        <w:t>the assets invested in the care home</w:t>
      </w:r>
      <w:r w:rsidRPr="00995855">
        <w:rPr>
          <w:rFonts w:ascii="Arial" w:eastAsia="Times New Roman" w:hAnsi="Arial" w:cs="Arial"/>
          <w:color w:val="auto"/>
          <w:lang w:eastAsia="en-GB"/>
        </w:rPr>
        <w:t xml:space="preserve"> and (b) the </w:t>
      </w:r>
      <w:r w:rsidRPr="00995855">
        <w:rPr>
          <w:rFonts w:ascii="Arial" w:eastAsia="Times New Roman" w:hAnsi="Arial" w:cs="Arial"/>
          <w:b/>
          <w:bCs/>
          <w:color w:val="auto"/>
          <w:lang w:eastAsia="en-GB"/>
        </w:rPr>
        <w:t>required percentage annual return on capital</w:t>
      </w:r>
      <w:r w:rsidRPr="00995855">
        <w:rPr>
          <w:rFonts w:ascii="Arial" w:eastAsia="Times New Roman" w:hAnsi="Arial" w:cs="Arial"/>
          <w:color w:val="auto"/>
          <w:lang w:eastAsia="en-GB"/>
        </w:rPr>
        <w:t xml:space="preserve">. This is the same approach as used in </w:t>
      </w:r>
      <w:r w:rsidR="0084182A" w:rsidRPr="00995855">
        <w:rPr>
          <w:rFonts w:ascii="Arial" w:eastAsia="Times New Roman" w:hAnsi="Arial" w:cs="Arial"/>
          <w:color w:val="auto"/>
          <w:lang w:eastAsia="en-GB"/>
        </w:rPr>
        <w:t>Laing Buisson’s</w:t>
      </w:r>
      <w:r w:rsidRPr="00995855">
        <w:rPr>
          <w:rFonts w:ascii="Arial" w:eastAsia="Times New Roman" w:hAnsi="Arial" w:cs="Arial"/>
          <w:color w:val="auto"/>
          <w:lang w:eastAsia="en-GB"/>
        </w:rPr>
        <w:t xml:space="preserve"> </w:t>
      </w:r>
      <w:r w:rsidRPr="00995855">
        <w:rPr>
          <w:rFonts w:ascii="Arial" w:eastAsia="Times New Roman" w:hAnsi="Arial" w:cs="Arial"/>
          <w:i/>
          <w:iCs/>
          <w:color w:val="auto"/>
          <w:lang w:eastAsia="en-GB"/>
        </w:rPr>
        <w:t>Care Cost Benchmarks</w:t>
      </w:r>
      <w:r w:rsidRPr="00995855">
        <w:rPr>
          <w:rFonts w:ascii="Arial" w:eastAsia="Times New Roman" w:hAnsi="Arial" w:cs="Arial"/>
          <w:color w:val="auto"/>
          <w:lang w:eastAsia="en-GB"/>
        </w:rPr>
        <w:t xml:space="preserve"> model.</w:t>
      </w:r>
    </w:p>
    <w:p w14:paraId="68C75ADD" w14:textId="77777777" w:rsidR="00995855" w:rsidRPr="00995855" w:rsidRDefault="00995855" w:rsidP="00995855">
      <w:pPr>
        <w:shd w:val="clear" w:color="auto" w:fill="FFFFFF"/>
        <w:spacing w:after="0" w:line="280" w:lineRule="exact"/>
        <w:jc w:val="both"/>
        <w:rPr>
          <w:rFonts w:ascii="Arial" w:eastAsia="Times New Roman" w:hAnsi="Arial" w:cs="Arial"/>
          <w:color w:val="auto"/>
          <w:lang w:eastAsia="en-GB"/>
        </w:rPr>
      </w:pPr>
    </w:p>
    <w:p w14:paraId="42F5AD32" w14:textId="77777777" w:rsidR="00995855" w:rsidRPr="00995855" w:rsidRDefault="00995855" w:rsidP="00995855">
      <w:pPr>
        <w:spacing w:after="0" w:line="280" w:lineRule="exact"/>
        <w:jc w:val="both"/>
        <w:rPr>
          <w:rFonts w:ascii="Arial" w:hAnsi="Arial" w:cs="Arial"/>
          <w:color w:val="auto"/>
          <w:lang w:eastAsia="en-GB"/>
        </w:rPr>
      </w:pPr>
      <w:r w:rsidRPr="00995855">
        <w:rPr>
          <w:rFonts w:ascii="Arial" w:hAnsi="Arial" w:cs="Arial"/>
          <w:color w:val="auto"/>
          <w:lang w:eastAsia="en-GB"/>
        </w:rPr>
        <w:t>In addition to capital tied up in the care home accommodation asset, providers will have working capital requirements, but these are relatively small and have been ignored in these calculations.</w:t>
      </w:r>
    </w:p>
    <w:p w14:paraId="660239FE" w14:textId="77777777" w:rsidR="00995855" w:rsidRPr="00995855" w:rsidRDefault="00995855" w:rsidP="00995855">
      <w:pPr>
        <w:rPr>
          <w:rFonts w:ascii="Arial" w:hAnsi="Arial" w:cs="Arial"/>
        </w:rPr>
      </w:pPr>
    </w:p>
    <w:p w14:paraId="7E77B583" w14:textId="77777777" w:rsidR="00995855" w:rsidRPr="0084182A" w:rsidRDefault="00995855" w:rsidP="00995855">
      <w:pPr>
        <w:tabs>
          <w:tab w:val="num" w:pos="0"/>
        </w:tabs>
        <w:suppressAutoHyphens/>
        <w:spacing w:after="0" w:line="260" w:lineRule="exact"/>
        <w:ind w:firstLine="720"/>
        <w:jc w:val="both"/>
        <w:outlineLvl w:val="3"/>
        <w:rPr>
          <w:rFonts w:ascii="Arial" w:eastAsia="Times New Roman" w:hAnsi="Arial" w:cs="Arial"/>
          <w:i/>
          <w:color w:val="auto"/>
          <w:lang w:eastAsia="en-GB"/>
        </w:rPr>
      </w:pPr>
      <w:r w:rsidRPr="0084182A">
        <w:rPr>
          <w:rFonts w:ascii="Arial" w:eastAsia="Times New Roman" w:hAnsi="Arial" w:cs="Arial"/>
          <w:i/>
          <w:color w:val="auto"/>
          <w:lang w:eastAsia="en-GB"/>
        </w:rPr>
        <w:t>A1.2.2.1 Value of assets</w:t>
      </w:r>
    </w:p>
    <w:p w14:paraId="517B668A" w14:textId="77777777" w:rsidR="00995855" w:rsidRPr="00995855" w:rsidRDefault="00995855" w:rsidP="00995855">
      <w:pPr>
        <w:shd w:val="clear" w:color="auto" w:fill="FFFFFF"/>
        <w:spacing w:after="0" w:line="280" w:lineRule="exact"/>
        <w:jc w:val="both"/>
        <w:rPr>
          <w:rFonts w:ascii="Arial" w:eastAsia="Times New Roman" w:hAnsi="Arial" w:cs="Arial"/>
          <w:color w:val="0B0C0C"/>
          <w:lang w:eastAsia="en-GB"/>
        </w:rPr>
      </w:pPr>
    </w:p>
    <w:p w14:paraId="06199108" w14:textId="77777777" w:rsidR="00995855" w:rsidRPr="00995855" w:rsidRDefault="00995855" w:rsidP="00995855">
      <w:pPr>
        <w:shd w:val="clear" w:color="auto" w:fill="FFFFFF"/>
        <w:spacing w:after="0" w:line="280" w:lineRule="exact"/>
        <w:jc w:val="both"/>
        <w:rPr>
          <w:rFonts w:ascii="Arial" w:eastAsia="Times New Roman" w:hAnsi="Arial" w:cs="Arial"/>
          <w:color w:val="0B0C0C"/>
          <w:lang w:eastAsia="en-GB"/>
        </w:rPr>
      </w:pPr>
      <w:r w:rsidRPr="00995855">
        <w:rPr>
          <w:rFonts w:ascii="Arial" w:eastAsia="Times New Roman" w:hAnsi="Arial" w:cs="Arial"/>
          <w:color w:val="0B0C0C"/>
          <w:lang w:eastAsia="en-GB"/>
        </w:rPr>
        <w:t>The IESE toolkit for care homes contains a field for providers to record the ‘Red Book’ valuation for the care home in question and the year of that valuation. The ‘Red Book’ refers to guidance from the Royal Institute of Chartered Surveyors (RICS) on how to make a whole business valuation of a freehold care home business. It is done by applying an appropriate multiple to its sustainable annual operating profits. It should be noted that the term ‘sustainable’ means that any premium due to exceptionally strong management is discounted and the home is valued according to the sustainable operating profits that the valuer considers competent replacement management could achieve.</w:t>
      </w:r>
    </w:p>
    <w:p w14:paraId="1DDD8BAB" w14:textId="77777777" w:rsidR="00995855" w:rsidRPr="00995855" w:rsidRDefault="00995855" w:rsidP="00995855">
      <w:pPr>
        <w:spacing w:after="0" w:line="280" w:lineRule="exact"/>
        <w:jc w:val="both"/>
        <w:rPr>
          <w:rFonts w:ascii="Arial" w:hAnsi="Arial" w:cs="Arial"/>
          <w:color w:val="auto"/>
          <w:lang w:eastAsia="en-GB"/>
        </w:rPr>
      </w:pPr>
    </w:p>
    <w:p w14:paraId="0AD77187" w14:textId="38993145" w:rsidR="00226E1A" w:rsidRDefault="009D08E4" w:rsidP="00226E1A">
      <w:pPr>
        <w:spacing w:after="0" w:line="280" w:lineRule="exact"/>
        <w:jc w:val="both"/>
        <w:rPr>
          <w:rFonts w:ascii="Arial" w:hAnsi="Arial" w:cs="Arial"/>
          <w:color w:val="auto"/>
          <w:lang w:eastAsia="en-GB"/>
        </w:rPr>
      </w:pPr>
      <w:r w:rsidRPr="009D08E4">
        <w:rPr>
          <w:rFonts w:ascii="Arial" w:hAnsi="Arial" w:cs="Arial"/>
          <w:color w:val="auto"/>
          <w:lang w:eastAsia="en-GB"/>
        </w:rPr>
        <w:t>The ’Red Book’ valuations in the care home toolkit returns have been adjusted for inflation (since the year of valuation) and expressed as a 2022/23 £ value per resident in the home by the home master spreadsheet which accompanies this report. Among the 20 Oxfordshire toolkits which reported valuations, the median figure was £136,679 per bed, see Table 4. But this has been capped at £122,000, for reasons described in Section 2.11.1, to give  a return on capital figure of  which works out at £140.38  per resident per week.</w:t>
      </w:r>
    </w:p>
    <w:p w14:paraId="68040612" w14:textId="77777777" w:rsidR="009D08E4" w:rsidRPr="00226E1A" w:rsidRDefault="009D08E4" w:rsidP="00226E1A">
      <w:pPr>
        <w:spacing w:after="0" w:line="280" w:lineRule="exact"/>
        <w:jc w:val="both"/>
        <w:rPr>
          <w:rFonts w:ascii="Arial" w:hAnsi="Arial" w:cs="Arial"/>
          <w:color w:val="auto"/>
          <w:lang w:eastAsia="en-GB"/>
        </w:rPr>
      </w:pPr>
    </w:p>
    <w:p w14:paraId="44B767A1" w14:textId="77777777" w:rsidR="00995855" w:rsidRPr="0084182A" w:rsidRDefault="00995855" w:rsidP="00995855">
      <w:pPr>
        <w:tabs>
          <w:tab w:val="num" w:pos="0"/>
        </w:tabs>
        <w:suppressAutoHyphens/>
        <w:spacing w:after="0" w:line="260" w:lineRule="exact"/>
        <w:ind w:firstLine="720"/>
        <w:jc w:val="both"/>
        <w:outlineLvl w:val="3"/>
        <w:rPr>
          <w:rFonts w:ascii="Arial" w:eastAsia="Times New Roman" w:hAnsi="Arial" w:cs="Arial"/>
          <w:i/>
          <w:color w:val="auto"/>
          <w:lang w:eastAsia="en-GB"/>
        </w:rPr>
      </w:pPr>
      <w:r w:rsidRPr="0084182A">
        <w:rPr>
          <w:rFonts w:ascii="Arial" w:eastAsia="Times New Roman" w:hAnsi="Arial" w:cs="Arial"/>
          <w:i/>
          <w:color w:val="auto"/>
          <w:lang w:eastAsia="en-GB"/>
        </w:rPr>
        <w:t>A1.2.2.2 Percentage annual return on capital</w:t>
      </w:r>
    </w:p>
    <w:p w14:paraId="4B0F68B3" w14:textId="77777777" w:rsidR="00995855" w:rsidRPr="00995855" w:rsidRDefault="00995855" w:rsidP="00995855">
      <w:pPr>
        <w:spacing w:after="0" w:line="280" w:lineRule="exact"/>
        <w:jc w:val="both"/>
        <w:rPr>
          <w:rFonts w:ascii="Arial" w:hAnsi="Arial" w:cs="Arial"/>
          <w:lang w:eastAsia="en-GB"/>
        </w:rPr>
      </w:pPr>
    </w:p>
    <w:p w14:paraId="2930735F" w14:textId="6D6B9264"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 xml:space="preserve">The provision of care homes in the UK now takes place almost entirely outside the public sector. It is mainly undertaken by for-profit providers and </w:t>
      </w:r>
      <w:r w:rsidR="00913E1D">
        <w:rPr>
          <w:rFonts w:ascii="Arial" w:hAnsi="Arial" w:cs="Arial"/>
          <w:color w:val="auto"/>
        </w:rPr>
        <w:t xml:space="preserve">it is </w:t>
      </w:r>
      <w:r w:rsidR="00DC645F">
        <w:rPr>
          <w:rFonts w:ascii="Arial" w:hAnsi="Arial" w:cs="Arial"/>
          <w:color w:val="auto"/>
        </w:rPr>
        <w:t>anticipated</w:t>
      </w:r>
      <w:r w:rsidR="00913E1D">
        <w:rPr>
          <w:rFonts w:ascii="Arial" w:hAnsi="Arial" w:cs="Arial"/>
          <w:color w:val="auto"/>
        </w:rPr>
        <w:t xml:space="preserve"> </w:t>
      </w:r>
      <w:r w:rsidRPr="00995855">
        <w:rPr>
          <w:rFonts w:ascii="Arial" w:hAnsi="Arial" w:cs="Arial"/>
          <w:color w:val="auto"/>
        </w:rPr>
        <w:t xml:space="preserve">will remain so for the foreseeable future. Care home development and operation is viewed by the business community as a moderately risky activity and investors in care home property, whether they are care home </w:t>
      </w:r>
      <w:r w:rsidRPr="00995855">
        <w:rPr>
          <w:rFonts w:ascii="Arial" w:hAnsi="Arial" w:cs="Arial"/>
          <w:color w:val="auto"/>
        </w:rPr>
        <w:lastRenderedPageBreak/>
        <w:t xml:space="preserve">operators themselves or third-party property investors, expect a reasonable rate of return on capital. From a public policy perspective, the return should be sufficient to: </w:t>
      </w:r>
    </w:p>
    <w:p w14:paraId="42C6BCE8" w14:textId="77777777" w:rsidR="00995855" w:rsidRPr="00995855" w:rsidRDefault="00995855" w:rsidP="00995855">
      <w:pPr>
        <w:spacing w:after="0" w:line="280" w:lineRule="exact"/>
        <w:jc w:val="both"/>
        <w:rPr>
          <w:rFonts w:ascii="Arial" w:hAnsi="Arial" w:cs="Arial"/>
          <w:color w:val="auto"/>
        </w:rPr>
      </w:pPr>
    </w:p>
    <w:p w14:paraId="5D49EF5D" w14:textId="77777777" w:rsidR="00995855" w:rsidRPr="00995855" w:rsidRDefault="00995855" w:rsidP="00EC7E75">
      <w:pPr>
        <w:numPr>
          <w:ilvl w:val="0"/>
          <w:numId w:val="5"/>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Attract investment in new care home capacity to meet potentially increasing underlying demand driven by the ageing population.</w:t>
      </w:r>
    </w:p>
    <w:p w14:paraId="7870AFE1" w14:textId="77777777" w:rsidR="00995855" w:rsidRPr="00995855" w:rsidRDefault="00995855" w:rsidP="00995855">
      <w:pPr>
        <w:suppressAutoHyphens/>
        <w:spacing w:after="0" w:line="280" w:lineRule="exact"/>
        <w:ind w:left="720"/>
        <w:jc w:val="both"/>
        <w:rPr>
          <w:rFonts w:ascii="Arial" w:eastAsia="Times New Roman" w:hAnsi="Arial" w:cs="Arial"/>
          <w:color w:val="auto"/>
          <w:lang w:eastAsia="en-GB"/>
        </w:rPr>
      </w:pPr>
    </w:p>
    <w:p w14:paraId="39F1F47A" w14:textId="4131F8D4" w:rsidR="00995855" w:rsidRDefault="00995855" w:rsidP="00995855">
      <w:pPr>
        <w:numPr>
          <w:ilvl w:val="0"/>
          <w:numId w:val="5"/>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Incentivise existing operators to continue in business and upgrade their physical assets where appropriate.</w:t>
      </w:r>
    </w:p>
    <w:p w14:paraId="3523C3F8" w14:textId="77777777" w:rsidR="004D5806" w:rsidRPr="004D5806" w:rsidRDefault="004D5806" w:rsidP="004D5806">
      <w:pPr>
        <w:suppressAutoHyphens/>
        <w:spacing w:after="0" w:line="280" w:lineRule="exact"/>
        <w:jc w:val="both"/>
        <w:rPr>
          <w:rFonts w:ascii="Arial" w:eastAsia="Times New Roman" w:hAnsi="Arial" w:cs="Arial"/>
          <w:color w:val="auto"/>
          <w:lang w:eastAsia="en-GB"/>
        </w:rPr>
      </w:pPr>
    </w:p>
    <w:p w14:paraId="123CAEB6" w14:textId="77777777" w:rsidR="00995855" w:rsidRPr="00995855" w:rsidRDefault="00995855" w:rsidP="00EC7E75">
      <w:pPr>
        <w:numPr>
          <w:ilvl w:val="0"/>
          <w:numId w:val="5"/>
        </w:numPr>
        <w:suppressAutoHyphens/>
        <w:spacing w:after="0" w:line="280" w:lineRule="exact"/>
        <w:jc w:val="both"/>
        <w:rPr>
          <w:rFonts w:ascii="Arial" w:eastAsia="Times New Roman" w:hAnsi="Arial" w:cs="Arial"/>
          <w:color w:val="auto"/>
          <w:lang w:eastAsia="en-GB"/>
        </w:rPr>
      </w:pPr>
      <w:r w:rsidRPr="00995855">
        <w:rPr>
          <w:rFonts w:ascii="Arial" w:eastAsia="Times New Roman" w:hAnsi="Arial" w:cs="Arial"/>
          <w:color w:val="auto"/>
          <w:lang w:eastAsia="en-GB"/>
        </w:rPr>
        <w:t>Encourage providers of new and existing homes to make services accessible to publicly as well as privately paying residents.</w:t>
      </w:r>
    </w:p>
    <w:p w14:paraId="3D072D0C" w14:textId="77777777" w:rsidR="00995855" w:rsidRPr="00995855" w:rsidRDefault="00995855" w:rsidP="00995855">
      <w:pPr>
        <w:spacing w:after="0" w:line="280" w:lineRule="exact"/>
        <w:jc w:val="both"/>
        <w:rPr>
          <w:rFonts w:ascii="Arial" w:hAnsi="Arial" w:cs="Arial"/>
          <w:color w:val="auto"/>
        </w:rPr>
      </w:pPr>
    </w:p>
    <w:p w14:paraId="5757F049" w14:textId="77777777" w:rsidR="00995855" w:rsidRPr="00995855" w:rsidRDefault="00995855" w:rsidP="00995855">
      <w:pPr>
        <w:spacing w:after="0" w:line="280" w:lineRule="exact"/>
        <w:jc w:val="both"/>
        <w:rPr>
          <w:rFonts w:ascii="Arial" w:hAnsi="Arial" w:cs="Arial"/>
          <w:color w:val="auto"/>
        </w:rPr>
      </w:pPr>
      <w:r w:rsidRPr="00995855">
        <w:rPr>
          <w:rFonts w:ascii="Arial" w:hAnsi="Arial" w:cs="Arial"/>
          <w:color w:val="auto"/>
        </w:rPr>
        <w:t>An objective measure of the annual cost of providing the accommodation (property) is required, independent of the care and other services provided within the property. This is readily available from the price that a care home operator typically has to pay for a long-term (c. 25 years) lease on a turnkey care home asset. Much of the care home capacity that has come on stream in recent years has been financed by this means</w:t>
      </w:r>
      <w:r w:rsidRPr="00995855">
        <w:rPr>
          <w:rFonts w:ascii="Arial" w:hAnsi="Arial" w:cs="Arial"/>
          <w:color w:val="auto"/>
          <w:vertAlign w:val="superscript"/>
        </w:rPr>
        <w:footnoteReference w:id="14"/>
      </w:r>
      <w:r w:rsidRPr="00995855">
        <w:rPr>
          <w:rFonts w:ascii="Arial" w:hAnsi="Arial" w:cs="Arial"/>
          <w:color w:val="auto"/>
        </w:rPr>
        <w:t>. The consensus view is that a yield of 6%-7% plus would be expected by a property investor leasing premises to an operator with a moderate covenant, though a yield of as low as 5% may be adequate for assets leased to the handful of operators with a strong balance sheet and excellent covenant</w:t>
      </w:r>
      <w:r w:rsidRPr="00995855">
        <w:rPr>
          <w:rFonts w:ascii="Arial" w:hAnsi="Arial" w:cs="Arial"/>
          <w:color w:val="auto"/>
          <w:vertAlign w:val="superscript"/>
        </w:rPr>
        <w:footnoteReference w:id="15"/>
      </w:r>
      <w:r w:rsidRPr="00995855">
        <w:rPr>
          <w:rFonts w:ascii="Arial" w:hAnsi="Arial" w:cs="Arial"/>
          <w:color w:val="auto"/>
        </w:rPr>
        <w:t>. These rates can be equated to the cost to a care home business of providing accommodation. The range is higher than a typical mortgage rate because it reflects the cost of (riskier) 100% finance.</w:t>
      </w:r>
    </w:p>
    <w:p w14:paraId="63AA12EF" w14:textId="77777777" w:rsidR="00995855" w:rsidRPr="00995855" w:rsidRDefault="00995855" w:rsidP="00995855">
      <w:pPr>
        <w:spacing w:after="0" w:line="280" w:lineRule="exact"/>
        <w:jc w:val="both"/>
        <w:rPr>
          <w:rFonts w:ascii="Arial" w:hAnsi="Arial" w:cs="Arial"/>
          <w:color w:val="auto"/>
        </w:rPr>
      </w:pPr>
    </w:p>
    <w:p w14:paraId="0EA542AE" w14:textId="142AA280" w:rsidR="00995855" w:rsidRPr="00995855" w:rsidRDefault="00995855" w:rsidP="00995855">
      <w:pPr>
        <w:spacing w:after="0" w:line="280" w:lineRule="exact"/>
        <w:jc w:val="both"/>
        <w:rPr>
          <w:rFonts w:ascii="Arial" w:hAnsi="Arial" w:cs="Arial"/>
          <w:color w:val="auto"/>
          <w:u w:val="single"/>
        </w:rPr>
      </w:pPr>
      <w:r w:rsidRPr="00995855">
        <w:rPr>
          <w:rFonts w:ascii="Arial" w:hAnsi="Arial" w:cs="Arial"/>
          <w:color w:val="auto"/>
        </w:rPr>
        <w:t>Based on this evidence,</w:t>
      </w:r>
      <w:r w:rsidRPr="00995855">
        <w:rPr>
          <w:rFonts w:ascii="Arial" w:hAnsi="Arial" w:cs="Arial"/>
          <w:b/>
          <w:bCs/>
          <w:color w:val="auto"/>
        </w:rPr>
        <w:t xml:space="preserve"> </w:t>
      </w:r>
      <w:r w:rsidR="0084182A" w:rsidRPr="00995855">
        <w:rPr>
          <w:rFonts w:ascii="Arial" w:hAnsi="Arial" w:cs="Arial"/>
          <w:b/>
          <w:bCs/>
          <w:color w:val="auto"/>
        </w:rPr>
        <w:t>Laing Buisson’s</w:t>
      </w:r>
      <w:r w:rsidRPr="00995855">
        <w:rPr>
          <w:rFonts w:ascii="Arial" w:hAnsi="Arial" w:cs="Arial"/>
          <w:b/>
          <w:bCs/>
          <w:color w:val="auto"/>
        </w:rPr>
        <w:t xml:space="preserve"> </w:t>
      </w:r>
      <w:r w:rsidRPr="00995855">
        <w:rPr>
          <w:rFonts w:ascii="Arial" w:hAnsi="Arial" w:cs="Arial"/>
          <w:b/>
          <w:bCs/>
          <w:i/>
          <w:iCs/>
          <w:color w:val="auto"/>
        </w:rPr>
        <w:t>Care Cost Benchmarks</w:t>
      </w:r>
      <w:r w:rsidRPr="00995855">
        <w:rPr>
          <w:rFonts w:ascii="Arial" w:hAnsi="Arial" w:cs="Arial"/>
          <w:b/>
          <w:bCs/>
          <w:color w:val="auto"/>
        </w:rPr>
        <w:t xml:space="preserve"> model proposes a Return on Capital benchmark rate of 6% per annum for care home property, </w:t>
      </w:r>
      <w:r w:rsidRPr="00995855">
        <w:rPr>
          <w:rFonts w:ascii="Arial" w:hAnsi="Arial" w:cs="Arial"/>
          <w:color w:val="auto"/>
        </w:rPr>
        <w:t>being at the lower end of the yield range of 6%-7% plus for care home operators with a moderate covenant, which is representative of the bulk of the UK care home market for older people. This conclusion is consistent with the DHSC ‘Potential approach 1’, as set out in Box 1.</w:t>
      </w:r>
      <w:r w:rsidRPr="00995855">
        <w:rPr>
          <w:rFonts w:ascii="Arial" w:hAnsi="Arial" w:cs="Arial"/>
          <w:color w:val="auto"/>
          <w:u w:val="single"/>
        </w:rPr>
        <w:t xml:space="preserve"> </w:t>
      </w:r>
    </w:p>
    <w:p w14:paraId="74FBB73E" w14:textId="77777777" w:rsidR="00995855" w:rsidRPr="00995855" w:rsidRDefault="00995855" w:rsidP="00995855">
      <w:pPr>
        <w:spacing w:after="0" w:line="280" w:lineRule="exact"/>
        <w:jc w:val="both"/>
        <w:rPr>
          <w:rFonts w:ascii="Arial" w:hAnsi="Arial" w:cs="Arial"/>
          <w:color w:val="0B0C0C"/>
          <w:u w:val="single"/>
        </w:rPr>
      </w:pPr>
    </w:p>
    <w:p w14:paraId="77B1C1E7" w14:textId="78CDE87A" w:rsidR="00995855" w:rsidRPr="00995855" w:rsidRDefault="003C554B" w:rsidP="00995855">
      <w:pPr>
        <w:spacing w:after="0" w:line="280" w:lineRule="exact"/>
        <w:jc w:val="both"/>
        <w:rPr>
          <w:rFonts w:ascii="Arial" w:hAnsi="Arial" w:cs="Arial"/>
        </w:rPr>
      </w:pPr>
      <w:r>
        <w:rPr>
          <w:rFonts w:ascii="Arial" w:hAnsi="Arial" w:cs="Arial"/>
          <w:color w:val="0B0C0C"/>
        </w:rPr>
        <w:t>LaingBuisson</w:t>
      </w:r>
      <w:r w:rsidRPr="00995855">
        <w:rPr>
          <w:rFonts w:ascii="Arial" w:hAnsi="Arial" w:cs="Arial"/>
          <w:color w:val="0B0C0C"/>
        </w:rPr>
        <w:t xml:space="preserve"> </w:t>
      </w:r>
      <w:r w:rsidR="00995855" w:rsidRPr="00995855">
        <w:rPr>
          <w:rFonts w:ascii="Arial" w:hAnsi="Arial" w:cs="Arial"/>
          <w:color w:val="0B0C0C"/>
        </w:rPr>
        <w:t xml:space="preserve">have rejected the DHSC’s </w:t>
      </w:r>
      <w:r w:rsidR="00995855" w:rsidRPr="00995855">
        <w:rPr>
          <w:rFonts w:ascii="Arial" w:hAnsi="Arial" w:cs="Arial"/>
        </w:rPr>
        <w:t>‘</w:t>
      </w:r>
      <w:r w:rsidR="00995855" w:rsidRPr="00995855">
        <w:rPr>
          <w:rFonts w:ascii="Arial" w:hAnsi="Arial" w:cs="Arial"/>
          <w:color w:val="0B0C0C"/>
        </w:rPr>
        <w:t xml:space="preserve">Potential approach 2’ as set out in Box 1. </w:t>
      </w:r>
      <w:r>
        <w:rPr>
          <w:rFonts w:ascii="Arial" w:hAnsi="Arial" w:cs="Arial"/>
          <w:color w:val="0B0C0C"/>
        </w:rPr>
        <w:t>They</w:t>
      </w:r>
      <w:r w:rsidRPr="00995855">
        <w:rPr>
          <w:rFonts w:ascii="Arial" w:hAnsi="Arial" w:cs="Arial"/>
          <w:color w:val="0B0C0C"/>
        </w:rPr>
        <w:t xml:space="preserve"> </w:t>
      </w:r>
      <w:r w:rsidR="00995855" w:rsidRPr="00995855">
        <w:rPr>
          <w:rFonts w:ascii="Arial" w:hAnsi="Arial" w:cs="Arial"/>
          <w:color w:val="0B0C0C"/>
        </w:rPr>
        <w:t>do not believe that LHA rates can be considered a good proxy for sustainable care home returns since the risk profile of residential property investment is different from the risk profile of care home investment.</w:t>
      </w:r>
    </w:p>
    <w:p w14:paraId="2FA4755F" w14:textId="77777777" w:rsidR="0098595F" w:rsidRPr="00995855" w:rsidRDefault="0098595F" w:rsidP="00995855">
      <w:pPr>
        <w:spacing w:after="0" w:line="280" w:lineRule="exact"/>
        <w:jc w:val="both"/>
        <w:rPr>
          <w:rFonts w:ascii="Arial" w:hAnsi="Arial" w:cs="Arial"/>
          <w:color w:val="auto"/>
        </w:rPr>
      </w:pPr>
    </w:p>
    <w:p w14:paraId="3F220590" w14:textId="77777777" w:rsidR="00995855" w:rsidRPr="00995855" w:rsidRDefault="00995855" w:rsidP="00995855">
      <w:pPr>
        <w:tabs>
          <w:tab w:val="num" w:pos="0"/>
          <w:tab w:val="right" w:pos="9071"/>
        </w:tabs>
        <w:suppressAutoHyphens/>
        <w:spacing w:after="0" w:line="260" w:lineRule="exact"/>
        <w:ind w:right="-34"/>
        <w:jc w:val="both"/>
        <w:outlineLvl w:val="2"/>
        <w:rPr>
          <w:rFonts w:ascii="Arial" w:eastAsia="Times New Roman" w:hAnsi="Arial" w:cs="Arial"/>
          <w:color w:val="auto"/>
          <w:lang w:eastAsia="en-GB"/>
        </w:rPr>
      </w:pPr>
      <w:bookmarkStart w:id="44" w:name="_Toc114240174"/>
      <w:r w:rsidRPr="00995855">
        <w:rPr>
          <w:rFonts w:ascii="Arial" w:eastAsia="Times New Roman" w:hAnsi="Arial" w:cs="Arial"/>
          <w:color w:val="auto"/>
          <w:lang w:eastAsia="en-GB"/>
        </w:rPr>
        <w:t>A1.2.3 Return on operations for care homes</w:t>
      </w:r>
      <w:bookmarkEnd w:id="44"/>
    </w:p>
    <w:p w14:paraId="173C4DD7" w14:textId="77777777" w:rsidR="00995855" w:rsidRPr="00995855" w:rsidRDefault="00995855" w:rsidP="00995855">
      <w:pPr>
        <w:spacing w:after="0" w:line="280" w:lineRule="exact"/>
        <w:jc w:val="both"/>
        <w:rPr>
          <w:rFonts w:ascii="Arial" w:hAnsi="Arial" w:cs="Arial"/>
        </w:rPr>
      </w:pPr>
    </w:p>
    <w:p w14:paraId="7F82F37D" w14:textId="77777777" w:rsidR="00995855" w:rsidRPr="003B4981" w:rsidRDefault="00995855" w:rsidP="00995855">
      <w:pPr>
        <w:spacing w:after="0" w:line="280" w:lineRule="exact"/>
        <w:jc w:val="both"/>
        <w:rPr>
          <w:rFonts w:ascii="Arial" w:hAnsi="Arial" w:cs="Arial"/>
          <w:color w:val="auto"/>
        </w:rPr>
      </w:pPr>
      <w:bookmarkStart w:id="45" w:name="_Hlk115334195"/>
      <w:r w:rsidRPr="003B4981">
        <w:rPr>
          <w:rFonts w:ascii="Arial" w:hAnsi="Arial" w:cs="Arial"/>
          <w:color w:val="auto"/>
        </w:rPr>
        <w:t>In the approach described above, the benchmark for return on operations can be derived by deducting the benchmark return on capital for the care home property asset (6%) from the benchmark whole business return on investment (11%, see section A1.2.1). The difference is 5%. However, this needs to be expressed not as a return on capital but as a mark-up on operating costs and head  (in line with DHSC guidance, see Box 1).</w:t>
      </w:r>
    </w:p>
    <w:p w14:paraId="5DC40010" w14:textId="77777777" w:rsidR="00995855" w:rsidRPr="003B4981" w:rsidRDefault="00995855" w:rsidP="00995855">
      <w:pPr>
        <w:spacing w:after="0" w:line="280" w:lineRule="exact"/>
        <w:jc w:val="both"/>
        <w:rPr>
          <w:rFonts w:ascii="Arial" w:hAnsi="Arial" w:cs="Arial"/>
          <w:color w:val="auto"/>
        </w:rPr>
      </w:pPr>
    </w:p>
    <w:p w14:paraId="4343572E" w14:textId="3584D95B" w:rsidR="00995855" w:rsidRDefault="00995855" w:rsidP="00995855">
      <w:pPr>
        <w:spacing w:after="0" w:line="280" w:lineRule="exact"/>
        <w:jc w:val="both"/>
        <w:rPr>
          <w:rFonts w:ascii="Arial" w:hAnsi="Arial" w:cs="Arial"/>
          <w:color w:val="auto"/>
        </w:rPr>
      </w:pPr>
      <w:r w:rsidRPr="003B4981">
        <w:rPr>
          <w:rFonts w:ascii="Arial" w:hAnsi="Arial" w:cs="Arial"/>
          <w:color w:val="auto"/>
        </w:rPr>
        <w:lastRenderedPageBreak/>
        <w:t>After adjusting for the different denominators</w:t>
      </w:r>
      <w:r w:rsidRPr="003B4981">
        <w:rPr>
          <w:rFonts w:ascii="Arial" w:hAnsi="Arial" w:cs="Arial"/>
          <w:b/>
          <w:bCs/>
          <w:color w:val="auto"/>
        </w:rPr>
        <w:t>, the return on operations benchmark can be re-expressed as a 10% mark-up on care home operating costs and head office costs</w:t>
      </w:r>
      <w:r w:rsidRPr="003B4981">
        <w:rPr>
          <w:rFonts w:ascii="Arial" w:hAnsi="Arial" w:cs="Arial"/>
          <w:color w:val="auto"/>
        </w:rPr>
        <w:t>.</w:t>
      </w:r>
      <w:r w:rsidRPr="00995855">
        <w:rPr>
          <w:rFonts w:ascii="Arial" w:hAnsi="Arial" w:cs="Arial"/>
          <w:color w:val="auto"/>
        </w:rPr>
        <w:t xml:space="preserve"> </w:t>
      </w:r>
    </w:p>
    <w:p w14:paraId="449341B7" w14:textId="0A97FDC6" w:rsidR="00B92757" w:rsidRDefault="00B92757" w:rsidP="00995855">
      <w:pPr>
        <w:spacing w:after="0" w:line="280" w:lineRule="exact"/>
        <w:jc w:val="both"/>
        <w:rPr>
          <w:rFonts w:ascii="Arial" w:hAnsi="Arial" w:cs="Arial"/>
          <w:color w:val="auto"/>
        </w:rPr>
      </w:pPr>
    </w:p>
    <w:bookmarkEnd w:id="45"/>
    <w:p w14:paraId="4E96B3AA" w14:textId="6526FB6B" w:rsidR="00995855" w:rsidRPr="00FA2DDA" w:rsidRDefault="003A7F0A" w:rsidP="00995855">
      <w:pPr>
        <w:spacing w:after="0" w:line="280" w:lineRule="exact"/>
        <w:jc w:val="both"/>
        <w:rPr>
          <w:rFonts w:ascii="Arial" w:hAnsi="Arial" w:cs="Arial"/>
          <w:color w:val="auto"/>
        </w:rPr>
      </w:pPr>
      <w:r w:rsidRPr="00FA2DDA">
        <w:rPr>
          <w:rFonts w:ascii="Arial" w:hAnsi="Arial" w:cs="Arial"/>
          <w:color w:val="auto"/>
        </w:rPr>
        <w:t>LaingBuisson</w:t>
      </w:r>
      <w:r w:rsidR="00995855" w:rsidRPr="00FA2DDA">
        <w:rPr>
          <w:rFonts w:ascii="Arial" w:hAnsi="Arial" w:cs="Arial"/>
          <w:color w:val="auto"/>
        </w:rPr>
        <w:t xml:space="preserve"> </w:t>
      </w:r>
      <w:r w:rsidRPr="00FA2DDA">
        <w:rPr>
          <w:rFonts w:ascii="Arial" w:hAnsi="Arial" w:cs="Arial"/>
          <w:color w:val="auto"/>
        </w:rPr>
        <w:t xml:space="preserve">posed </w:t>
      </w:r>
      <w:r w:rsidR="00995855" w:rsidRPr="00FA2DDA">
        <w:rPr>
          <w:rFonts w:ascii="Arial" w:hAnsi="Arial" w:cs="Arial"/>
          <w:color w:val="auto"/>
        </w:rPr>
        <w:t>a subsidiary question over whether the mark-up should be the same for not-for-profit care homes as for for-profit care homes, given the typically lower profitability (surplus) aspirations of not-for-profits.</w:t>
      </w:r>
      <w:r w:rsidR="00DC73CB" w:rsidRPr="00FA2DDA">
        <w:rPr>
          <w:rFonts w:ascii="Arial" w:hAnsi="Arial" w:cs="Arial"/>
          <w:color w:val="auto"/>
        </w:rPr>
        <w:t xml:space="preserve">  </w:t>
      </w:r>
      <w:r w:rsidR="0096583B" w:rsidRPr="00FA2DDA">
        <w:rPr>
          <w:rFonts w:ascii="Arial" w:hAnsi="Arial" w:cs="Arial"/>
          <w:color w:val="auto"/>
        </w:rPr>
        <w:t xml:space="preserve">Oxfordshire County Council has significant partnerships with not-for-profit organisations as part of our strategic approach to the market.  The council would not seek to provide a lower return rate to not-for-profit providers, but to enable them to reinvest any surplus in the sustainability and quality of care for the long-term stability of social care in the county.  This is in line with the council’s approach to sound stewardship of public money. </w:t>
      </w:r>
    </w:p>
    <w:p w14:paraId="3811F59B" w14:textId="240810A7" w:rsidR="009D3453" w:rsidRPr="00FA2DDA" w:rsidRDefault="009D3453" w:rsidP="00995855">
      <w:pPr>
        <w:spacing w:after="0" w:line="280" w:lineRule="exact"/>
        <w:jc w:val="both"/>
        <w:rPr>
          <w:rFonts w:ascii="Arial" w:hAnsi="Arial" w:cs="Arial"/>
          <w:color w:val="auto"/>
        </w:rPr>
      </w:pPr>
    </w:p>
    <w:p w14:paraId="39947589" w14:textId="755EA399" w:rsidR="00995855" w:rsidRPr="00FA2DDA" w:rsidRDefault="000A5923">
      <w:pPr>
        <w:rPr>
          <w:rFonts w:ascii="Arial" w:hAnsi="Arial" w:cs="Arial"/>
          <w:color w:val="auto"/>
        </w:rPr>
      </w:pPr>
      <w:r w:rsidRPr="00FA2DDA">
        <w:rPr>
          <w:rFonts w:ascii="Arial" w:hAnsi="Arial" w:cs="Arial"/>
          <w:color w:val="auto"/>
        </w:rPr>
        <w:t>The council will investigate the number of nursing hours which currently stand</w:t>
      </w:r>
      <w:r w:rsidR="00AC4BB3" w:rsidRPr="00FA2DDA">
        <w:rPr>
          <w:rFonts w:ascii="Arial" w:hAnsi="Arial" w:cs="Arial"/>
          <w:color w:val="auto"/>
        </w:rPr>
        <w:t>s</w:t>
      </w:r>
      <w:r w:rsidRPr="00FA2DDA">
        <w:rPr>
          <w:rFonts w:ascii="Arial" w:hAnsi="Arial" w:cs="Arial"/>
          <w:color w:val="auto"/>
        </w:rPr>
        <w:t xml:space="preserve"> between 12-13 hours per resident per week in Oxfordshire. The nursing hours per resident per week calculated from LaingBuisson’s Care Cost Benchmark Subscription product is 8.4 hours per resident per week. </w:t>
      </w:r>
    </w:p>
    <w:p w14:paraId="3A2B550B" w14:textId="2B6A5B97" w:rsidR="003A0952" w:rsidRDefault="003A0952">
      <w:pPr>
        <w:rPr>
          <w:rFonts w:ascii="Arial" w:hAnsi="Arial" w:cs="Arial"/>
        </w:rPr>
      </w:pPr>
    </w:p>
    <w:p w14:paraId="2A488C78" w14:textId="3C419E8D" w:rsidR="003A0952" w:rsidRDefault="003A0952">
      <w:pPr>
        <w:rPr>
          <w:rFonts w:ascii="Arial" w:hAnsi="Arial" w:cs="Arial"/>
        </w:rPr>
      </w:pPr>
    </w:p>
    <w:p w14:paraId="3C6C6196" w14:textId="24E89395" w:rsidR="003A0952" w:rsidRDefault="003A0952">
      <w:pPr>
        <w:rPr>
          <w:rFonts w:ascii="Arial" w:hAnsi="Arial" w:cs="Arial"/>
        </w:rPr>
      </w:pPr>
    </w:p>
    <w:p w14:paraId="097277AD" w14:textId="0765D256" w:rsidR="003A0952" w:rsidRDefault="003A0952">
      <w:pPr>
        <w:rPr>
          <w:rFonts w:ascii="Arial" w:hAnsi="Arial" w:cs="Arial"/>
        </w:rPr>
      </w:pPr>
    </w:p>
    <w:p w14:paraId="6842E057" w14:textId="68A56529" w:rsidR="003A0952" w:rsidRDefault="003A0952">
      <w:pPr>
        <w:rPr>
          <w:rFonts w:ascii="Arial" w:hAnsi="Arial" w:cs="Arial"/>
        </w:rPr>
      </w:pPr>
    </w:p>
    <w:p w14:paraId="2C26C3E4" w14:textId="6635CE2E" w:rsidR="003A0952" w:rsidRDefault="003A0952">
      <w:pPr>
        <w:rPr>
          <w:rFonts w:ascii="Arial" w:hAnsi="Arial" w:cs="Arial"/>
        </w:rPr>
      </w:pPr>
    </w:p>
    <w:p w14:paraId="39339813" w14:textId="0B5DD0D2" w:rsidR="003A0952" w:rsidRDefault="003A0952">
      <w:pPr>
        <w:rPr>
          <w:rFonts w:ascii="Arial" w:hAnsi="Arial" w:cs="Arial"/>
        </w:rPr>
      </w:pPr>
    </w:p>
    <w:p w14:paraId="2920B972" w14:textId="677703E2" w:rsidR="003A0952" w:rsidRDefault="003A0952">
      <w:pPr>
        <w:rPr>
          <w:rFonts w:ascii="Arial" w:hAnsi="Arial" w:cs="Arial"/>
        </w:rPr>
      </w:pPr>
    </w:p>
    <w:p w14:paraId="5BDCDB27" w14:textId="42D05025" w:rsidR="003A0952" w:rsidRDefault="003A0952">
      <w:pPr>
        <w:rPr>
          <w:rFonts w:ascii="Arial" w:hAnsi="Arial" w:cs="Arial"/>
        </w:rPr>
      </w:pPr>
    </w:p>
    <w:p w14:paraId="4C9F6146" w14:textId="19639F5C" w:rsidR="003A0952" w:rsidRDefault="003A0952">
      <w:pPr>
        <w:rPr>
          <w:rFonts w:ascii="Arial" w:hAnsi="Arial" w:cs="Arial"/>
        </w:rPr>
      </w:pPr>
    </w:p>
    <w:p w14:paraId="1DE5599A" w14:textId="02AB1FDF" w:rsidR="003A0952" w:rsidRDefault="003A0952">
      <w:pPr>
        <w:rPr>
          <w:rFonts w:ascii="Arial" w:hAnsi="Arial" w:cs="Arial"/>
        </w:rPr>
      </w:pPr>
    </w:p>
    <w:p w14:paraId="79F266F4" w14:textId="6364A0A4" w:rsidR="003A0952" w:rsidRDefault="003A0952">
      <w:pPr>
        <w:rPr>
          <w:rFonts w:ascii="Arial" w:hAnsi="Arial" w:cs="Arial"/>
        </w:rPr>
      </w:pPr>
    </w:p>
    <w:p w14:paraId="2673AA0B" w14:textId="3E4F2224" w:rsidR="003A0952" w:rsidRDefault="003A0952">
      <w:pPr>
        <w:rPr>
          <w:rFonts w:ascii="Arial" w:hAnsi="Arial" w:cs="Arial"/>
        </w:rPr>
      </w:pPr>
    </w:p>
    <w:p w14:paraId="7CDD971E" w14:textId="5BFB4425" w:rsidR="003A0952" w:rsidRDefault="003A0952">
      <w:pPr>
        <w:rPr>
          <w:rFonts w:ascii="Arial" w:hAnsi="Arial" w:cs="Arial"/>
        </w:rPr>
      </w:pPr>
    </w:p>
    <w:p w14:paraId="51722F29" w14:textId="24880B11" w:rsidR="003A0952" w:rsidRDefault="003A0952">
      <w:pPr>
        <w:rPr>
          <w:rFonts w:ascii="Arial" w:hAnsi="Arial" w:cs="Arial"/>
        </w:rPr>
      </w:pPr>
    </w:p>
    <w:p w14:paraId="121D567B" w14:textId="0A8B7538" w:rsidR="003A0952" w:rsidRDefault="003A0952">
      <w:pPr>
        <w:rPr>
          <w:rFonts w:ascii="Arial" w:hAnsi="Arial" w:cs="Arial"/>
        </w:rPr>
      </w:pPr>
    </w:p>
    <w:p w14:paraId="231C923A" w14:textId="1A228D58" w:rsidR="003A0952" w:rsidRDefault="003A0952">
      <w:pPr>
        <w:rPr>
          <w:rFonts w:ascii="Arial" w:hAnsi="Arial" w:cs="Arial"/>
        </w:rPr>
      </w:pPr>
    </w:p>
    <w:p w14:paraId="0BD5F636" w14:textId="2A533B3A" w:rsidR="00B31F72" w:rsidRDefault="00B31F72">
      <w:pPr>
        <w:rPr>
          <w:rFonts w:ascii="Arial" w:hAnsi="Arial" w:cs="Arial"/>
        </w:rPr>
      </w:pPr>
    </w:p>
    <w:p w14:paraId="5613F018" w14:textId="55EEA242" w:rsidR="00B31F72" w:rsidRDefault="00B31F72">
      <w:pPr>
        <w:rPr>
          <w:rFonts w:ascii="Arial" w:hAnsi="Arial" w:cs="Arial"/>
        </w:rPr>
      </w:pPr>
    </w:p>
    <w:p w14:paraId="3ED39A24" w14:textId="77777777" w:rsidR="00B31F72" w:rsidRDefault="00B31F72">
      <w:pPr>
        <w:rPr>
          <w:rFonts w:ascii="Arial" w:hAnsi="Arial" w:cs="Arial"/>
        </w:rPr>
      </w:pPr>
    </w:p>
    <w:p w14:paraId="6ABEBF25" w14:textId="32B7EC06" w:rsidR="006C206C" w:rsidRDefault="006C206C">
      <w:pPr>
        <w:rPr>
          <w:rFonts w:ascii="Arial" w:hAnsi="Arial" w:cs="Arial"/>
        </w:rPr>
      </w:pPr>
    </w:p>
    <w:p w14:paraId="54E66624" w14:textId="56CD1A96" w:rsidR="006C206C" w:rsidRDefault="006C206C">
      <w:pPr>
        <w:rPr>
          <w:rFonts w:ascii="Arial" w:hAnsi="Arial" w:cs="Arial"/>
        </w:rPr>
      </w:pPr>
    </w:p>
    <w:p w14:paraId="00C5D5BB" w14:textId="77777777" w:rsidR="006C206C" w:rsidRDefault="006C206C">
      <w:pPr>
        <w:rPr>
          <w:rFonts w:ascii="Arial" w:hAnsi="Arial" w:cs="Arial"/>
        </w:rPr>
      </w:pPr>
    </w:p>
    <w:p w14:paraId="21795AA9" w14:textId="2E992C7E" w:rsidR="00206DB2" w:rsidRPr="00206DB2" w:rsidRDefault="00206DB2" w:rsidP="00206DB2">
      <w:pPr>
        <w:ind w:right="-851"/>
        <w:jc w:val="center"/>
        <w:rPr>
          <w:rFonts w:ascii="Arial" w:hAnsi="Arial" w:cs="Arial"/>
          <w:b/>
          <w:sz w:val="28"/>
          <w:szCs w:val="28"/>
        </w:rPr>
      </w:pPr>
      <w:r w:rsidRPr="00206DB2">
        <w:rPr>
          <w:rFonts w:ascii="Arial" w:hAnsi="Arial" w:cs="Arial"/>
          <w:b/>
          <w:sz w:val="28"/>
          <w:szCs w:val="28"/>
        </w:rPr>
        <w:t>Cost of Care</w:t>
      </w:r>
      <w:r w:rsidR="00EF3CA1">
        <w:rPr>
          <w:rFonts w:ascii="Arial" w:hAnsi="Arial" w:cs="Arial"/>
          <w:b/>
          <w:sz w:val="28"/>
          <w:szCs w:val="28"/>
        </w:rPr>
        <w:t xml:space="preserve"> (CoC)</w:t>
      </w:r>
    </w:p>
    <w:p w14:paraId="4797C442" w14:textId="77777777" w:rsidR="00206DB2" w:rsidRPr="00206DB2" w:rsidRDefault="00206DB2" w:rsidP="00206DB2">
      <w:pPr>
        <w:ind w:right="-851"/>
        <w:jc w:val="center"/>
        <w:rPr>
          <w:rFonts w:ascii="Arial" w:hAnsi="Arial" w:cs="Arial"/>
          <w:b/>
          <w:sz w:val="28"/>
          <w:szCs w:val="28"/>
        </w:rPr>
      </w:pPr>
      <w:r w:rsidRPr="00206DB2">
        <w:rPr>
          <w:rFonts w:ascii="Arial" w:hAnsi="Arial" w:cs="Arial"/>
          <w:b/>
          <w:sz w:val="28"/>
          <w:szCs w:val="28"/>
        </w:rPr>
        <w:t>Domiciliary Care (18+)</w:t>
      </w:r>
    </w:p>
    <w:p w14:paraId="24510107" w14:textId="77777777" w:rsidR="00206DB2" w:rsidRPr="00206DB2" w:rsidRDefault="00206DB2" w:rsidP="00206DB2">
      <w:pPr>
        <w:ind w:right="-851"/>
        <w:jc w:val="center"/>
        <w:rPr>
          <w:rFonts w:ascii="Arial" w:hAnsi="Arial" w:cs="Arial"/>
          <w:b/>
          <w:sz w:val="28"/>
          <w:szCs w:val="28"/>
        </w:rPr>
      </w:pPr>
      <w:r w:rsidRPr="00206DB2">
        <w:rPr>
          <w:rFonts w:ascii="Arial" w:hAnsi="Arial" w:cs="Arial"/>
          <w:b/>
          <w:sz w:val="28"/>
          <w:szCs w:val="28"/>
        </w:rPr>
        <w:t xml:space="preserve">Results and Analysis from Toolkits submitted by Providers located in </w:t>
      </w:r>
    </w:p>
    <w:p w14:paraId="52A13658" w14:textId="77777777" w:rsidR="00206DB2" w:rsidRPr="00206DB2" w:rsidRDefault="00206DB2" w:rsidP="00206DB2">
      <w:pPr>
        <w:ind w:right="-851"/>
        <w:jc w:val="center"/>
        <w:rPr>
          <w:rFonts w:ascii="Arial" w:hAnsi="Arial" w:cs="Arial"/>
          <w:b/>
          <w:bCs/>
          <w:sz w:val="40"/>
          <w:szCs w:val="40"/>
        </w:rPr>
      </w:pPr>
      <w:r w:rsidRPr="00206DB2">
        <w:rPr>
          <w:rFonts w:ascii="Arial" w:hAnsi="Arial" w:cs="Arial"/>
          <w:b/>
          <w:bCs/>
          <w:sz w:val="28"/>
          <w:szCs w:val="20"/>
        </w:rPr>
        <w:t>Oxfordshire County Council</w:t>
      </w:r>
      <w:r w:rsidRPr="00206DB2">
        <w:rPr>
          <w:rFonts w:ascii="Arial" w:hAnsi="Arial" w:cs="Arial"/>
          <w:b/>
          <w:bCs/>
          <w:color w:val="FF0000"/>
          <w:sz w:val="20"/>
          <w:szCs w:val="20"/>
        </w:rPr>
        <w:t xml:space="preserve"> </w:t>
      </w:r>
      <w:r w:rsidRPr="00206DB2">
        <w:rPr>
          <w:rFonts w:ascii="Arial" w:hAnsi="Arial" w:cs="Arial"/>
          <w:b/>
          <w:bCs/>
          <w:sz w:val="40"/>
          <w:szCs w:val="40"/>
        </w:rPr>
        <w:t xml:space="preserve">  </w:t>
      </w:r>
    </w:p>
    <w:p w14:paraId="0DAEAEC8" w14:textId="77777777" w:rsidR="00206DB2" w:rsidRPr="00206DB2" w:rsidRDefault="00206DB2" w:rsidP="00206DB2">
      <w:pPr>
        <w:ind w:right="-851"/>
        <w:rPr>
          <w:rFonts w:ascii="Arial" w:hAnsi="Arial" w:cs="Arial"/>
          <w:sz w:val="20"/>
          <w:szCs w:val="20"/>
        </w:rPr>
      </w:pPr>
    </w:p>
    <w:p w14:paraId="0173D5D9" w14:textId="77777777" w:rsidR="00206DB2" w:rsidRPr="00206DB2" w:rsidRDefault="00206DB2" w:rsidP="00206DB2">
      <w:pPr>
        <w:ind w:right="-851"/>
      </w:pPr>
    </w:p>
    <w:p w14:paraId="53DF993B" w14:textId="77777777" w:rsidR="00206DB2" w:rsidRPr="00206DB2" w:rsidRDefault="00206DB2" w:rsidP="00206DB2">
      <w:pPr>
        <w:ind w:right="-851"/>
      </w:pPr>
    </w:p>
    <w:p w14:paraId="44065D80" w14:textId="77777777" w:rsidR="00206DB2" w:rsidRPr="00206DB2" w:rsidRDefault="00206DB2" w:rsidP="00206DB2">
      <w:pPr>
        <w:ind w:right="-851"/>
      </w:pPr>
    </w:p>
    <w:p w14:paraId="433DE07A" w14:textId="77777777" w:rsidR="00206DB2" w:rsidRPr="00206DB2" w:rsidRDefault="00206DB2" w:rsidP="00206DB2">
      <w:pPr>
        <w:ind w:right="-851"/>
      </w:pPr>
    </w:p>
    <w:p w14:paraId="37D96E28" w14:textId="77777777" w:rsidR="00206DB2" w:rsidRPr="00206DB2" w:rsidRDefault="00206DB2" w:rsidP="00206DB2">
      <w:pPr>
        <w:ind w:right="-851"/>
      </w:pPr>
    </w:p>
    <w:p w14:paraId="2B63B319" w14:textId="77777777" w:rsidR="00206DB2" w:rsidRPr="00206DB2" w:rsidRDefault="00206DB2" w:rsidP="00206DB2">
      <w:pPr>
        <w:ind w:right="-851"/>
      </w:pPr>
    </w:p>
    <w:p w14:paraId="2ADA9343" w14:textId="77777777" w:rsidR="00206DB2" w:rsidRPr="00206DB2" w:rsidRDefault="00206DB2" w:rsidP="00206DB2">
      <w:pPr>
        <w:ind w:right="-851"/>
      </w:pPr>
    </w:p>
    <w:p w14:paraId="1E502844" w14:textId="77777777" w:rsidR="00206DB2" w:rsidRPr="00206DB2" w:rsidRDefault="00206DB2" w:rsidP="00206DB2">
      <w:pPr>
        <w:ind w:right="-851"/>
      </w:pPr>
    </w:p>
    <w:p w14:paraId="042571A7" w14:textId="77777777" w:rsidR="00206DB2" w:rsidRPr="00206DB2" w:rsidRDefault="00206DB2" w:rsidP="00206DB2">
      <w:pPr>
        <w:ind w:right="-851"/>
      </w:pPr>
    </w:p>
    <w:p w14:paraId="25C4C5F9" w14:textId="08EBAC50" w:rsidR="00B31F72" w:rsidRDefault="00B31F72" w:rsidP="00206DB2">
      <w:pPr>
        <w:ind w:right="-851"/>
      </w:pPr>
    </w:p>
    <w:p w14:paraId="543E3E25" w14:textId="72E2FD69" w:rsidR="00B31F72" w:rsidRDefault="00B31F72" w:rsidP="00206DB2">
      <w:pPr>
        <w:ind w:right="-851"/>
      </w:pPr>
    </w:p>
    <w:p w14:paraId="09209B89" w14:textId="42FB89F2" w:rsidR="00B31F72" w:rsidRDefault="00B31F72" w:rsidP="00206DB2">
      <w:pPr>
        <w:ind w:right="-851"/>
      </w:pPr>
    </w:p>
    <w:p w14:paraId="46E7E513" w14:textId="494BF3C7" w:rsidR="00B31F72" w:rsidRDefault="00B31F72" w:rsidP="00206DB2">
      <w:pPr>
        <w:ind w:right="-851"/>
      </w:pPr>
    </w:p>
    <w:p w14:paraId="19DC8E92" w14:textId="22BA8979" w:rsidR="00206DB2" w:rsidRDefault="00206DB2" w:rsidP="00206DB2">
      <w:pPr>
        <w:ind w:right="-851"/>
      </w:pPr>
    </w:p>
    <w:p w14:paraId="6938BD92" w14:textId="40CD8958" w:rsidR="002B4734" w:rsidRDefault="002B4734" w:rsidP="00206DB2">
      <w:pPr>
        <w:ind w:right="-851"/>
      </w:pPr>
    </w:p>
    <w:p w14:paraId="281ABFC0" w14:textId="77777777" w:rsidR="002B4734" w:rsidRDefault="002B4734" w:rsidP="00206DB2">
      <w:pPr>
        <w:ind w:right="-851"/>
      </w:pPr>
    </w:p>
    <w:p w14:paraId="5E36C132" w14:textId="77777777" w:rsidR="001D45DB" w:rsidRPr="00206DB2" w:rsidRDefault="001D45DB" w:rsidP="00206DB2">
      <w:pPr>
        <w:ind w:right="-851"/>
      </w:pPr>
    </w:p>
    <w:p w14:paraId="3D5624AC" w14:textId="592E2207" w:rsidR="00206DB2" w:rsidRDefault="00206DB2" w:rsidP="007E48F2">
      <w:pPr>
        <w:ind w:right="-851"/>
        <w:contextualSpacing/>
        <w:rPr>
          <w:rFonts w:ascii="Arial" w:hAnsi="Arial" w:cs="Arial"/>
          <w:b/>
          <w:bCs/>
        </w:rPr>
      </w:pPr>
      <w:r w:rsidRPr="00206DB2">
        <w:rPr>
          <w:rFonts w:ascii="Arial" w:hAnsi="Arial" w:cs="Arial"/>
          <w:b/>
          <w:bCs/>
        </w:rPr>
        <w:lastRenderedPageBreak/>
        <w:t>EXECUTIVE SUMMARY</w:t>
      </w:r>
    </w:p>
    <w:p w14:paraId="59DC41A8" w14:textId="77777777" w:rsidR="007E48F2" w:rsidRPr="00206DB2" w:rsidRDefault="007E48F2" w:rsidP="007E48F2">
      <w:pPr>
        <w:ind w:right="-851"/>
        <w:contextualSpacing/>
        <w:rPr>
          <w:rFonts w:ascii="Arial" w:hAnsi="Arial" w:cs="Arial"/>
          <w:b/>
          <w:bCs/>
        </w:rPr>
      </w:pPr>
    </w:p>
    <w:p w14:paraId="2CC9A5B7" w14:textId="1A09162C" w:rsidR="00206DB2" w:rsidRPr="00206DB2" w:rsidRDefault="00206DB2" w:rsidP="00610FD0">
      <w:pPr>
        <w:ind w:right="-851"/>
        <w:jc w:val="both"/>
        <w:rPr>
          <w:rFonts w:ascii="Arial" w:hAnsi="Arial" w:cs="Arial"/>
        </w:rPr>
      </w:pPr>
      <w:r w:rsidRPr="00206DB2">
        <w:rPr>
          <w:rFonts w:ascii="Arial" w:hAnsi="Arial" w:cs="Arial"/>
        </w:rPr>
        <w:t>In June 2022 Oxfordshire County Council commissioned Laing Buisson to undertake a</w:t>
      </w:r>
      <w:r w:rsidR="001D45DB">
        <w:rPr>
          <w:rFonts w:ascii="Arial" w:hAnsi="Arial" w:cs="Arial"/>
        </w:rPr>
        <w:t xml:space="preserve"> </w:t>
      </w:r>
      <w:r w:rsidRPr="00206DB2">
        <w:rPr>
          <w:rFonts w:ascii="Arial" w:hAnsi="Arial" w:cs="Arial"/>
        </w:rPr>
        <w:t>Cost of Care exercise (</w:t>
      </w:r>
      <w:r w:rsidR="00BE2ACF">
        <w:rPr>
          <w:rFonts w:ascii="Arial" w:hAnsi="Arial" w:cs="Arial"/>
        </w:rPr>
        <w:t>C</w:t>
      </w:r>
      <w:r w:rsidR="0029380F">
        <w:rPr>
          <w:rFonts w:ascii="Arial" w:hAnsi="Arial" w:cs="Arial"/>
        </w:rPr>
        <w:t>oC</w:t>
      </w:r>
      <w:r w:rsidRPr="00206DB2">
        <w:rPr>
          <w:rFonts w:ascii="Arial" w:hAnsi="Arial" w:cs="Arial"/>
        </w:rPr>
        <w:t>), as described and specified in government guidance, covering registered domiciliary care services for adults (18+) within the council’s boundaries.</w:t>
      </w:r>
      <w:r w:rsidRPr="00206DB2">
        <w:rPr>
          <w:rFonts w:ascii="Arial" w:hAnsi="Arial" w:cs="Arial"/>
          <w:vertAlign w:val="superscript"/>
        </w:rPr>
        <w:footnoteReference w:id="16"/>
      </w:r>
    </w:p>
    <w:p w14:paraId="4EE71F0B" w14:textId="77777777" w:rsidR="00206DB2" w:rsidRPr="00206DB2" w:rsidRDefault="00206DB2" w:rsidP="00610FD0">
      <w:pPr>
        <w:ind w:right="-851"/>
        <w:jc w:val="both"/>
        <w:rPr>
          <w:rFonts w:ascii="Arial" w:hAnsi="Arial" w:cs="Arial"/>
        </w:rPr>
      </w:pPr>
      <w:r w:rsidRPr="00206DB2">
        <w:rPr>
          <w:rFonts w:ascii="Arial" w:hAnsi="Arial" w:cs="Arial"/>
        </w:rPr>
        <w:t>This written report is based on validated submissions of CQC registered domiciliary care providers, using the toolkit developed by ARCC in partnership with the Local Government Association. In the validation process, toolkit submissions were checked by LaingBuisson for sense and consistency and anomalies were amended as necessary with the agreement of providers.</w:t>
      </w:r>
    </w:p>
    <w:p w14:paraId="139EC05E" w14:textId="22FDE766" w:rsidR="00206DB2" w:rsidRPr="00206DB2" w:rsidRDefault="00206DB2" w:rsidP="00610FD0">
      <w:pPr>
        <w:ind w:right="-851"/>
        <w:jc w:val="both"/>
        <w:rPr>
          <w:rFonts w:ascii="Arial" w:hAnsi="Arial" w:cs="Arial"/>
        </w:rPr>
      </w:pPr>
      <w:r w:rsidRPr="00206DB2">
        <w:rPr>
          <w:rFonts w:ascii="Arial" w:hAnsi="Arial" w:cs="Arial"/>
        </w:rPr>
        <w:t>The Council has carefully reviewed the  cost of care analysis undertaken by LaingBuisson and share a number of their concerns and in doing so, have considered the following pieces of evidence to support its decision:</w:t>
      </w:r>
    </w:p>
    <w:p w14:paraId="4C4681AE" w14:textId="582AD40E" w:rsidR="00206DB2" w:rsidRPr="00206DB2" w:rsidRDefault="00206DB2" w:rsidP="00610FD0">
      <w:pPr>
        <w:ind w:right="-851"/>
        <w:jc w:val="both"/>
        <w:rPr>
          <w:rFonts w:ascii="Arial" w:hAnsi="Arial" w:cs="Arial"/>
        </w:rPr>
      </w:pPr>
      <w:r w:rsidRPr="00206DB2">
        <w:rPr>
          <w:rFonts w:ascii="Arial" w:hAnsi="Arial" w:cs="Arial"/>
        </w:rPr>
        <w:t xml:space="preserve">The </w:t>
      </w:r>
      <w:r w:rsidR="0029380F">
        <w:rPr>
          <w:rFonts w:ascii="Arial" w:hAnsi="Arial" w:cs="Arial"/>
        </w:rPr>
        <w:t>CoC</w:t>
      </w:r>
      <w:r w:rsidRPr="00206DB2">
        <w:rPr>
          <w:rFonts w:ascii="Arial" w:hAnsi="Arial" w:cs="Arial"/>
        </w:rPr>
        <w:t xml:space="preserve"> exercise undertaken by LaingBuisson on behalf of Oxfordshire County Council returned a median </w:t>
      </w:r>
      <w:r w:rsidR="0029380F">
        <w:rPr>
          <w:rFonts w:ascii="Arial" w:hAnsi="Arial" w:cs="Arial"/>
        </w:rPr>
        <w:t>CoC</w:t>
      </w:r>
      <w:r w:rsidRPr="00206DB2">
        <w:rPr>
          <w:rFonts w:ascii="Arial" w:hAnsi="Arial" w:cs="Arial"/>
        </w:rPr>
        <w:t xml:space="preserve"> rate of £30.12, this figure including a 5% return on operations.  However, there were several key concerns and issues with the return including:</w:t>
      </w:r>
    </w:p>
    <w:p w14:paraId="47E9DE81" w14:textId="77777777" w:rsidR="00206DB2" w:rsidRPr="00206DB2" w:rsidRDefault="00206DB2" w:rsidP="00206DB2">
      <w:pPr>
        <w:numPr>
          <w:ilvl w:val="0"/>
          <w:numId w:val="28"/>
        </w:numPr>
        <w:ind w:left="426" w:right="-851" w:hanging="426"/>
        <w:contextualSpacing/>
        <w:rPr>
          <w:rFonts w:ascii="Arial" w:hAnsi="Arial" w:cs="Arial"/>
        </w:rPr>
      </w:pPr>
      <w:r w:rsidRPr="00206DB2">
        <w:rPr>
          <w:rFonts w:ascii="Arial" w:hAnsi="Arial" w:cs="Arial"/>
        </w:rPr>
        <w:t>Low rate of response: only 21 toolkits were validated by LaingBuisson representing a return rate of just 22% of providers</w:t>
      </w:r>
    </w:p>
    <w:p w14:paraId="7209E316" w14:textId="77777777" w:rsidR="00206DB2" w:rsidRPr="00206DB2" w:rsidRDefault="00206DB2" w:rsidP="00206DB2">
      <w:pPr>
        <w:numPr>
          <w:ilvl w:val="0"/>
          <w:numId w:val="28"/>
        </w:numPr>
        <w:ind w:left="426" w:right="-851" w:hanging="426"/>
        <w:contextualSpacing/>
        <w:rPr>
          <w:rFonts w:ascii="Arial" w:hAnsi="Arial" w:cs="Arial"/>
        </w:rPr>
      </w:pPr>
      <w:r w:rsidRPr="00206DB2">
        <w:rPr>
          <w:rFonts w:ascii="Arial" w:hAnsi="Arial" w:cs="Arial"/>
        </w:rPr>
        <w:t xml:space="preserve">The geographical spread of returns was limited </w:t>
      </w:r>
    </w:p>
    <w:p w14:paraId="0059B63C" w14:textId="77777777" w:rsidR="00206DB2" w:rsidRPr="00206DB2" w:rsidRDefault="00206DB2" w:rsidP="00206DB2">
      <w:pPr>
        <w:numPr>
          <w:ilvl w:val="0"/>
          <w:numId w:val="28"/>
        </w:numPr>
        <w:ind w:left="426" w:right="-851" w:hanging="426"/>
        <w:contextualSpacing/>
        <w:rPr>
          <w:rFonts w:ascii="Arial" w:hAnsi="Arial" w:cs="Arial"/>
        </w:rPr>
      </w:pPr>
      <w:r w:rsidRPr="00206DB2">
        <w:rPr>
          <w:rFonts w:ascii="Arial" w:hAnsi="Arial" w:cs="Arial"/>
        </w:rPr>
        <w:t>There was a predominance of small and medium companies amongst those who completed returns, which is likely to have skewed some cost areas</w:t>
      </w:r>
    </w:p>
    <w:p w14:paraId="0CB0DD5D" w14:textId="77777777" w:rsidR="00206DB2" w:rsidRPr="00206DB2" w:rsidRDefault="00206DB2" w:rsidP="00206DB2">
      <w:pPr>
        <w:numPr>
          <w:ilvl w:val="0"/>
          <w:numId w:val="28"/>
        </w:numPr>
        <w:ind w:left="426" w:right="-851" w:hanging="426"/>
        <w:contextualSpacing/>
        <w:rPr>
          <w:rFonts w:ascii="Arial" w:hAnsi="Arial" w:cs="Arial"/>
        </w:rPr>
      </w:pPr>
      <w:r w:rsidRPr="00206DB2">
        <w:rPr>
          <w:rFonts w:ascii="Arial" w:hAnsi="Arial" w:cs="Arial"/>
        </w:rPr>
        <w:t xml:space="preserve">The business costs reported were of significant concern, and LaingBuisson despite adjusting their approach to outliers still recommended that the Council recognised the anomaly when reviewing appropriate fee rates and noted a possible systematic overstatement of ‘Business Cost’ costs. </w:t>
      </w:r>
    </w:p>
    <w:p w14:paraId="3AB1B9BE" w14:textId="77777777" w:rsidR="00CA2B64" w:rsidRDefault="00CA2B64" w:rsidP="00206DB2">
      <w:pPr>
        <w:ind w:right="-851"/>
        <w:rPr>
          <w:rFonts w:ascii="Arial" w:hAnsi="Arial" w:cs="Arial"/>
        </w:rPr>
      </w:pPr>
    </w:p>
    <w:p w14:paraId="7828E9C9" w14:textId="5F4AD654" w:rsidR="00206DB2" w:rsidRPr="00206DB2" w:rsidRDefault="00206DB2" w:rsidP="00610FD0">
      <w:pPr>
        <w:ind w:right="-851"/>
        <w:jc w:val="both"/>
        <w:rPr>
          <w:rFonts w:ascii="Arial" w:hAnsi="Arial" w:cs="Arial"/>
        </w:rPr>
      </w:pPr>
      <w:r w:rsidRPr="00206DB2">
        <w:rPr>
          <w:rFonts w:ascii="Arial" w:hAnsi="Arial" w:cs="Arial"/>
        </w:rPr>
        <w:t xml:space="preserve">The Council has noted LaingBuisson’s conclusion that the difference in magnitude between the Homecare Association’s national minimum pro forma cost for ‘Running the Business (£5.95) and the ‘Business Costs’ returned in this </w:t>
      </w:r>
      <w:r w:rsidR="00BE2ACF">
        <w:rPr>
          <w:rFonts w:ascii="Arial" w:hAnsi="Arial" w:cs="Arial"/>
        </w:rPr>
        <w:t xml:space="preserve"> </w:t>
      </w:r>
      <w:r w:rsidR="0029380F">
        <w:rPr>
          <w:rFonts w:ascii="Arial" w:hAnsi="Arial" w:cs="Arial"/>
        </w:rPr>
        <w:t>CoC</w:t>
      </w:r>
      <w:r w:rsidRPr="00206DB2">
        <w:rPr>
          <w:rFonts w:ascii="Arial" w:hAnsi="Arial" w:cs="Arial"/>
        </w:rPr>
        <w:t xml:space="preserve"> exercise (£9.99) was ‘hard to explain’.  The Council has therefore determined that the rates on </w:t>
      </w:r>
      <w:r w:rsidRPr="003A0952">
        <w:rPr>
          <w:rFonts w:ascii="Arial" w:hAnsi="Arial" w:cs="Arial"/>
        </w:rPr>
        <w:t>back-office returns reflected</w:t>
      </w:r>
      <w:r w:rsidRPr="00206DB2">
        <w:rPr>
          <w:rFonts w:ascii="Arial" w:hAnsi="Arial" w:cs="Arial"/>
        </w:rPr>
        <w:t xml:space="preserve"> in the median rates are insufficiently robust and have considered other sources of evidence including the Homecare Association’s national minimum pro forma cost structure and a previous  Cost of Care exercise undertaken in Oxfordshire by Valuing Care in 2020 which had a higher response rate and can therefore be considered more robust.  The Council therefore intends to accept back-office costs at a rate of £6.20 per hour, being the higher of these two amounts when adjusted for 2022/23 figures.</w:t>
      </w:r>
    </w:p>
    <w:p w14:paraId="549DCAA8" w14:textId="48EC9B7F" w:rsidR="00206DB2" w:rsidRPr="00206DB2" w:rsidRDefault="00206DB2" w:rsidP="00206DB2">
      <w:pPr>
        <w:ind w:right="-851"/>
        <w:rPr>
          <w:rFonts w:ascii="Arial" w:hAnsi="Arial" w:cs="Arial"/>
        </w:rPr>
      </w:pPr>
      <w:r w:rsidRPr="00206DB2">
        <w:rPr>
          <w:rFonts w:ascii="Arial" w:hAnsi="Arial" w:cs="Arial"/>
        </w:rPr>
        <w:t xml:space="preserve">When this revised back-office figure of £6.20 per hour is applied this therefore leads the Council to </w:t>
      </w:r>
      <w:r w:rsidRPr="00206DB2">
        <w:rPr>
          <w:rFonts w:ascii="Arial" w:hAnsi="Arial" w:cs="Arial"/>
          <w:b/>
          <w:bCs/>
        </w:rPr>
        <w:t>a cost of care figure of £26.15.</w:t>
      </w:r>
    </w:p>
    <w:p w14:paraId="40F943E8" w14:textId="6F9C5533" w:rsidR="00206DB2" w:rsidRDefault="00206DB2" w:rsidP="00206DB2">
      <w:pPr>
        <w:spacing w:after="0" w:line="240" w:lineRule="auto"/>
        <w:ind w:right="-851"/>
        <w:rPr>
          <w:rFonts w:ascii="Arial" w:hAnsi="Arial" w:cs="Arial"/>
        </w:rPr>
      </w:pPr>
    </w:p>
    <w:p w14:paraId="5B7D7339" w14:textId="76BA288C" w:rsidR="006D4E3D" w:rsidRDefault="006D4E3D" w:rsidP="00206DB2">
      <w:pPr>
        <w:spacing w:after="0" w:line="240" w:lineRule="auto"/>
        <w:ind w:right="-851"/>
        <w:rPr>
          <w:rFonts w:ascii="Arial" w:hAnsi="Arial" w:cs="Arial"/>
        </w:rPr>
      </w:pPr>
    </w:p>
    <w:p w14:paraId="5EB270B4" w14:textId="77777777" w:rsidR="006D4E3D" w:rsidRPr="00206DB2" w:rsidRDefault="006D4E3D" w:rsidP="00206DB2">
      <w:pPr>
        <w:spacing w:after="0" w:line="240" w:lineRule="auto"/>
        <w:ind w:right="-851"/>
        <w:rPr>
          <w:rFonts w:ascii="Arial" w:hAnsi="Arial" w:cs="Arial"/>
        </w:rPr>
      </w:pPr>
    </w:p>
    <w:p w14:paraId="35AF024F" w14:textId="77777777" w:rsidR="00206DB2" w:rsidRPr="00206DB2" w:rsidRDefault="00206DB2" w:rsidP="00206DB2">
      <w:pPr>
        <w:ind w:right="-851"/>
        <w:rPr>
          <w:rFonts w:ascii="Arial" w:hAnsi="Arial" w:cs="Arial"/>
        </w:rPr>
      </w:pPr>
      <w:r w:rsidRPr="00206DB2">
        <w:rPr>
          <w:rFonts w:ascii="Arial" w:hAnsi="Arial" w:cs="Arial"/>
        </w:rPr>
        <w:lastRenderedPageBreak/>
        <w:t>1.1 Headline results</w:t>
      </w:r>
    </w:p>
    <w:p w14:paraId="15F8612D" w14:textId="3816327A" w:rsidR="00206DB2" w:rsidRPr="00206DB2" w:rsidRDefault="00206DB2" w:rsidP="00206DB2">
      <w:pPr>
        <w:ind w:right="-851"/>
        <w:rPr>
          <w:rFonts w:ascii="Arial" w:hAnsi="Arial" w:cs="Arial"/>
        </w:rPr>
      </w:pPr>
      <w:r w:rsidRPr="00206DB2">
        <w:rPr>
          <w:rFonts w:ascii="Arial" w:hAnsi="Arial" w:cs="Arial"/>
        </w:rPr>
        <w:t xml:space="preserve">A summary of median total costs derived from the </w:t>
      </w:r>
      <w:r w:rsidR="00BE2ACF">
        <w:rPr>
          <w:rFonts w:ascii="Arial" w:hAnsi="Arial" w:cs="Arial"/>
        </w:rPr>
        <w:t>CoC</w:t>
      </w:r>
      <w:r w:rsidR="00BE2ACF" w:rsidRPr="00206DB2">
        <w:rPr>
          <w:rFonts w:ascii="Arial" w:hAnsi="Arial" w:cs="Arial"/>
        </w:rPr>
        <w:t xml:space="preserve"> </w:t>
      </w:r>
      <w:r w:rsidRPr="00206DB2">
        <w:rPr>
          <w:rFonts w:ascii="Arial" w:hAnsi="Arial" w:cs="Arial"/>
        </w:rPr>
        <w:t>exercise is presented in Table 1. A more granular analysis of the cost of care results, including all of the cost lines prescribed by DHSC for councils to qualify for grant funding, is set out in Table 3.</w:t>
      </w:r>
    </w:p>
    <w:p w14:paraId="74B4B1F8" w14:textId="77777777" w:rsidR="00206DB2" w:rsidRPr="00206DB2" w:rsidRDefault="00206DB2" w:rsidP="00206DB2">
      <w:pPr>
        <w:ind w:right="-851"/>
        <w:rPr>
          <w:rFonts w:ascii="Arial" w:hAnsi="Arial" w:cs="Arial"/>
          <w:b/>
          <w:bCs/>
          <w:sz w:val="18"/>
          <w:szCs w:val="18"/>
        </w:rPr>
      </w:pPr>
      <w:r w:rsidRPr="00206DB2">
        <w:rPr>
          <w:rFonts w:ascii="Arial" w:hAnsi="Arial" w:cs="Arial"/>
          <w:b/>
          <w:bCs/>
          <w:sz w:val="18"/>
          <w:szCs w:val="18"/>
        </w:rPr>
        <w:t>Table 1 Median total costs1 of providers of domiciliary care services located in Oxfordshire County Council (including return on operations), £ per hour at 2022/23 prices at 2022/23 prices.</w:t>
      </w:r>
      <w:r w:rsidRPr="00206DB2">
        <w:t xml:space="preserve"> </w:t>
      </w:r>
      <w:r w:rsidRPr="00206DB2">
        <w:rPr>
          <w:rFonts w:ascii="Arial" w:hAnsi="Arial" w:cs="Arial"/>
          <w:b/>
          <w:bCs/>
          <w:sz w:val="18"/>
          <w:szCs w:val="18"/>
        </w:rPr>
        <w:t>This is based on a 5% return on operations.</w:t>
      </w:r>
    </w:p>
    <w:p w14:paraId="531C60E4" w14:textId="77777777" w:rsidR="00206DB2" w:rsidRPr="00206DB2" w:rsidRDefault="00206DB2" w:rsidP="00206DB2">
      <w:pPr>
        <w:ind w:right="-851"/>
        <w:jc w:val="center"/>
        <w:rPr>
          <w:rFonts w:ascii="Arial" w:hAnsi="Arial" w:cs="Arial"/>
          <w:b/>
          <w:bCs/>
          <w:sz w:val="18"/>
          <w:szCs w:val="18"/>
        </w:rPr>
      </w:pPr>
    </w:p>
    <w:tbl>
      <w:tblPr>
        <w:tblStyle w:val="TableGrid1"/>
        <w:tblW w:w="101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80"/>
        <w:gridCol w:w="2096"/>
        <w:gridCol w:w="2111"/>
        <w:gridCol w:w="1924"/>
        <w:gridCol w:w="1139"/>
      </w:tblGrid>
      <w:tr w:rsidR="00206DB2" w:rsidRPr="00206DB2" w14:paraId="0F4BA0E3" w14:textId="77777777" w:rsidTr="0002146F">
        <w:trPr>
          <w:trHeight w:val="1573"/>
          <w:jc w:val="center"/>
        </w:trPr>
        <w:tc>
          <w:tcPr>
            <w:tcW w:w="1418" w:type="dxa"/>
            <w:tcBorders>
              <w:top w:val="single" w:sz="4" w:space="0" w:color="auto"/>
              <w:bottom w:val="nil"/>
            </w:tcBorders>
          </w:tcPr>
          <w:p w14:paraId="02BDF6F4" w14:textId="77777777" w:rsidR="00206DB2" w:rsidRPr="00206DB2" w:rsidRDefault="00206DB2" w:rsidP="00206DB2">
            <w:pPr>
              <w:spacing w:line="280" w:lineRule="exact"/>
              <w:jc w:val="right"/>
              <w:rPr>
                <w:rFonts w:ascii="Arial" w:hAnsi="Arial" w:cs="Arial"/>
                <w:color w:val="auto"/>
                <w:sz w:val="18"/>
                <w:szCs w:val="18"/>
              </w:rPr>
            </w:pPr>
          </w:p>
        </w:tc>
        <w:tc>
          <w:tcPr>
            <w:tcW w:w="1480" w:type="dxa"/>
            <w:tcBorders>
              <w:top w:val="single" w:sz="4" w:space="0" w:color="auto"/>
              <w:bottom w:val="nil"/>
            </w:tcBorders>
          </w:tcPr>
          <w:p w14:paraId="4CB7A63D"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Median total costs</w:t>
            </w:r>
          </w:p>
        </w:tc>
        <w:tc>
          <w:tcPr>
            <w:tcW w:w="2096" w:type="dxa"/>
            <w:tcBorders>
              <w:top w:val="single" w:sz="4" w:space="0" w:color="auto"/>
              <w:bottom w:val="nil"/>
            </w:tcBorders>
          </w:tcPr>
          <w:p w14:paraId="3C714376" w14:textId="77777777" w:rsidR="00206DB2" w:rsidRPr="00206DB2" w:rsidRDefault="00206DB2" w:rsidP="00206DB2">
            <w:pPr>
              <w:numPr>
                <w:ilvl w:val="0"/>
                <w:numId w:val="25"/>
              </w:numPr>
              <w:suppressAutoHyphens/>
              <w:spacing w:after="0" w:line="280" w:lineRule="exact"/>
              <w:jc w:val="right"/>
              <w:rPr>
                <w:rFonts w:ascii="Arial" w:eastAsia="Times New Roman" w:hAnsi="Arial" w:cs="Arial"/>
                <w:color w:val="auto"/>
                <w:sz w:val="18"/>
                <w:szCs w:val="18"/>
                <w:lang w:eastAsia="en-GB"/>
              </w:rPr>
            </w:pPr>
            <w:r w:rsidRPr="00206DB2">
              <w:rPr>
                <w:rFonts w:ascii="Arial" w:eastAsia="Times New Roman" w:hAnsi="Arial" w:cs="Arial"/>
                <w:color w:val="auto"/>
                <w:sz w:val="18"/>
                <w:szCs w:val="18"/>
                <w:lang w:eastAsia="en-GB"/>
              </w:rPr>
              <w:t>Fully validated submissions</w:t>
            </w:r>
          </w:p>
        </w:tc>
        <w:tc>
          <w:tcPr>
            <w:tcW w:w="2111" w:type="dxa"/>
            <w:tcBorders>
              <w:top w:val="single" w:sz="4" w:space="0" w:color="auto"/>
              <w:bottom w:val="nil"/>
            </w:tcBorders>
          </w:tcPr>
          <w:p w14:paraId="6035D36B" w14:textId="77777777" w:rsidR="00206DB2" w:rsidRPr="00206DB2" w:rsidRDefault="00206DB2" w:rsidP="00206DB2">
            <w:pPr>
              <w:numPr>
                <w:ilvl w:val="0"/>
                <w:numId w:val="25"/>
              </w:numPr>
              <w:suppressAutoHyphens/>
              <w:spacing w:after="0" w:line="280" w:lineRule="exact"/>
              <w:jc w:val="right"/>
              <w:rPr>
                <w:rFonts w:ascii="Arial" w:eastAsia="Times New Roman" w:hAnsi="Arial" w:cs="Arial"/>
                <w:color w:val="auto"/>
                <w:sz w:val="18"/>
                <w:szCs w:val="18"/>
                <w:lang w:eastAsia="en-GB"/>
              </w:rPr>
            </w:pPr>
            <w:r w:rsidRPr="00206DB2">
              <w:rPr>
                <w:rFonts w:ascii="Arial" w:eastAsia="Times New Roman" w:hAnsi="Arial" w:cs="Arial"/>
                <w:color w:val="auto"/>
                <w:sz w:val="18"/>
                <w:szCs w:val="18"/>
                <w:lang w:eastAsia="en-GB"/>
              </w:rPr>
              <w:t>Partly validated submissions (with at least one cost line validated)</w:t>
            </w:r>
          </w:p>
        </w:tc>
        <w:tc>
          <w:tcPr>
            <w:tcW w:w="1924" w:type="dxa"/>
            <w:tcBorders>
              <w:top w:val="single" w:sz="4" w:space="0" w:color="auto"/>
              <w:bottom w:val="nil"/>
            </w:tcBorders>
          </w:tcPr>
          <w:p w14:paraId="0BFC89A4" w14:textId="77777777" w:rsidR="00206DB2" w:rsidRPr="00206DB2" w:rsidRDefault="00206DB2" w:rsidP="00206DB2">
            <w:pPr>
              <w:numPr>
                <w:ilvl w:val="0"/>
                <w:numId w:val="25"/>
              </w:numPr>
              <w:suppressAutoHyphens/>
              <w:spacing w:after="0" w:line="280" w:lineRule="exact"/>
              <w:jc w:val="right"/>
              <w:rPr>
                <w:rFonts w:ascii="Arial" w:eastAsia="Times New Roman" w:hAnsi="Arial" w:cs="Arial"/>
                <w:color w:val="auto"/>
                <w:sz w:val="18"/>
                <w:szCs w:val="18"/>
                <w:lang w:eastAsia="en-GB"/>
              </w:rPr>
            </w:pPr>
            <w:r w:rsidRPr="00206DB2">
              <w:rPr>
                <w:rFonts w:ascii="Arial" w:eastAsia="Times New Roman" w:hAnsi="Arial" w:cs="Arial"/>
                <w:color w:val="auto"/>
                <w:sz w:val="18"/>
                <w:szCs w:val="18"/>
                <w:lang w:eastAsia="en-GB"/>
              </w:rPr>
              <w:t>Services in scope</w:t>
            </w:r>
          </w:p>
        </w:tc>
        <w:tc>
          <w:tcPr>
            <w:tcW w:w="1139" w:type="dxa"/>
            <w:tcBorders>
              <w:top w:val="single" w:sz="4" w:space="0" w:color="auto"/>
              <w:bottom w:val="nil"/>
            </w:tcBorders>
          </w:tcPr>
          <w:p w14:paraId="7238FCEA"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Response rate (A + B) / C</w:t>
            </w:r>
          </w:p>
        </w:tc>
      </w:tr>
      <w:tr w:rsidR="00206DB2" w:rsidRPr="00206DB2" w14:paraId="0FA7D639" w14:textId="77777777" w:rsidTr="0002146F">
        <w:trPr>
          <w:trHeight w:val="453"/>
          <w:jc w:val="center"/>
        </w:trPr>
        <w:tc>
          <w:tcPr>
            <w:tcW w:w="1418" w:type="dxa"/>
            <w:tcBorders>
              <w:top w:val="nil"/>
              <w:bottom w:val="single" w:sz="4" w:space="0" w:color="auto"/>
            </w:tcBorders>
          </w:tcPr>
          <w:p w14:paraId="6367CBF3" w14:textId="77777777" w:rsidR="00206DB2" w:rsidRPr="00206DB2" w:rsidRDefault="00206DB2" w:rsidP="00206DB2">
            <w:pPr>
              <w:spacing w:line="280" w:lineRule="exact"/>
              <w:jc w:val="right"/>
              <w:rPr>
                <w:rFonts w:ascii="Arial" w:hAnsi="Arial" w:cs="Arial"/>
                <w:color w:val="auto"/>
                <w:sz w:val="18"/>
                <w:szCs w:val="18"/>
              </w:rPr>
            </w:pPr>
          </w:p>
        </w:tc>
        <w:tc>
          <w:tcPr>
            <w:tcW w:w="1480" w:type="dxa"/>
            <w:tcBorders>
              <w:top w:val="nil"/>
              <w:bottom w:val="single" w:sz="4" w:space="0" w:color="auto"/>
            </w:tcBorders>
          </w:tcPr>
          <w:p w14:paraId="20081EEB"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 per hour</w:t>
            </w:r>
          </w:p>
        </w:tc>
        <w:tc>
          <w:tcPr>
            <w:tcW w:w="2096" w:type="dxa"/>
            <w:tcBorders>
              <w:top w:val="nil"/>
              <w:bottom w:val="single" w:sz="4" w:space="0" w:color="auto"/>
            </w:tcBorders>
          </w:tcPr>
          <w:p w14:paraId="7296D796"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Number</w:t>
            </w:r>
          </w:p>
        </w:tc>
        <w:tc>
          <w:tcPr>
            <w:tcW w:w="2111" w:type="dxa"/>
            <w:tcBorders>
              <w:top w:val="nil"/>
              <w:bottom w:val="single" w:sz="4" w:space="0" w:color="auto"/>
            </w:tcBorders>
          </w:tcPr>
          <w:p w14:paraId="1FD99ADE"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Number</w:t>
            </w:r>
          </w:p>
        </w:tc>
        <w:tc>
          <w:tcPr>
            <w:tcW w:w="1924" w:type="dxa"/>
            <w:tcBorders>
              <w:top w:val="nil"/>
              <w:bottom w:val="single" w:sz="4" w:space="0" w:color="auto"/>
            </w:tcBorders>
          </w:tcPr>
          <w:p w14:paraId="7A16F669"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Number</w:t>
            </w:r>
          </w:p>
        </w:tc>
        <w:tc>
          <w:tcPr>
            <w:tcW w:w="1139" w:type="dxa"/>
            <w:tcBorders>
              <w:top w:val="nil"/>
              <w:bottom w:val="single" w:sz="4" w:space="0" w:color="auto"/>
            </w:tcBorders>
          </w:tcPr>
          <w:p w14:paraId="5DF80A16" w14:textId="77777777" w:rsidR="00206DB2" w:rsidRPr="00206DB2" w:rsidRDefault="00206DB2" w:rsidP="00206DB2">
            <w:pPr>
              <w:spacing w:line="280" w:lineRule="exact"/>
              <w:jc w:val="right"/>
              <w:rPr>
                <w:rFonts w:ascii="Arial" w:hAnsi="Arial" w:cs="Arial"/>
                <w:color w:val="auto"/>
                <w:sz w:val="18"/>
                <w:szCs w:val="18"/>
              </w:rPr>
            </w:pPr>
            <w:r w:rsidRPr="00206DB2">
              <w:rPr>
                <w:rFonts w:ascii="Arial" w:hAnsi="Arial" w:cs="Arial"/>
                <w:color w:val="auto"/>
                <w:sz w:val="18"/>
                <w:szCs w:val="18"/>
              </w:rPr>
              <w:t>%</w:t>
            </w:r>
          </w:p>
        </w:tc>
      </w:tr>
      <w:tr w:rsidR="00206DB2" w:rsidRPr="00206DB2" w14:paraId="3C9FFE1D" w14:textId="77777777" w:rsidTr="0002146F">
        <w:trPr>
          <w:trHeight w:val="977"/>
          <w:jc w:val="center"/>
        </w:trPr>
        <w:tc>
          <w:tcPr>
            <w:tcW w:w="1418" w:type="dxa"/>
          </w:tcPr>
          <w:p w14:paraId="34D1EF39" w14:textId="77777777" w:rsidR="00206DB2" w:rsidRPr="00206DB2" w:rsidRDefault="00206DB2" w:rsidP="00206DB2">
            <w:pPr>
              <w:spacing w:line="280" w:lineRule="exact"/>
              <w:rPr>
                <w:rFonts w:ascii="Arial" w:hAnsi="Arial" w:cs="Arial"/>
                <w:color w:val="auto"/>
                <w:sz w:val="18"/>
                <w:szCs w:val="18"/>
              </w:rPr>
            </w:pPr>
            <w:r w:rsidRPr="00206DB2">
              <w:rPr>
                <w:rFonts w:ascii="Arial" w:hAnsi="Arial" w:cs="Arial"/>
                <w:color w:val="auto"/>
                <w:sz w:val="18"/>
                <w:szCs w:val="18"/>
              </w:rPr>
              <w:t>All domiciliary care</w:t>
            </w:r>
          </w:p>
        </w:tc>
        <w:tc>
          <w:tcPr>
            <w:tcW w:w="1480" w:type="dxa"/>
            <w:vAlign w:val="center"/>
          </w:tcPr>
          <w:p w14:paraId="74D31F1E" w14:textId="77777777" w:rsidR="00206DB2" w:rsidRPr="00206DB2" w:rsidRDefault="00206DB2" w:rsidP="00206DB2">
            <w:pPr>
              <w:jc w:val="right"/>
              <w:rPr>
                <w:rFonts w:ascii="Arial" w:hAnsi="Arial" w:cs="Arial"/>
                <w:b/>
                <w:bCs/>
                <w:color w:val="auto"/>
                <w:sz w:val="18"/>
                <w:szCs w:val="18"/>
              </w:rPr>
            </w:pPr>
            <w:r w:rsidRPr="00206DB2">
              <w:rPr>
                <w:rFonts w:ascii="Arial" w:hAnsi="Arial" w:cs="Arial"/>
                <w:b/>
                <w:bCs/>
                <w:color w:val="auto"/>
                <w:sz w:val="18"/>
                <w:szCs w:val="18"/>
              </w:rPr>
              <w:t xml:space="preserve">£30.12 </w:t>
            </w:r>
          </w:p>
        </w:tc>
        <w:tc>
          <w:tcPr>
            <w:tcW w:w="2096" w:type="dxa"/>
            <w:vAlign w:val="center"/>
          </w:tcPr>
          <w:p w14:paraId="625DB1B1" w14:textId="77777777" w:rsidR="00206DB2" w:rsidRPr="00206DB2" w:rsidRDefault="00206DB2" w:rsidP="00206DB2">
            <w:pPr>
              <w:jc w:val="right"/>
              <w:rPr>
                <w:rFonts w:ascii="Arial" w:hAnsi="Arial" w:cs="Arial"/>
                <w:b/>
                <w:bCs/>
                <w:color w:val="auto"/>
                <w:sz w:val="18"/>
                <w:szCs w:val="18"/>
              </w:rPr>
            </w:pPr>
            <w:r w:rsidRPr="00206DB2">
              <w:rPr>
                <w:rFonts w:ascii="Arial" w:hAnsi="Arial" w:cs="Arial"/>
                <w:b/>
                <w:bCs/>
                <w:color w:val="auto"/>
                <w:sz w:val="18"/>
                <w:szCs w:val="18"/>
              </w:rPr>
              <w:t>21</w:t>
            </w:r>
          </w:p>
        </w:tc>
        <w:tc>
          <w:tcPr>
            <w:tcW w:w="2111" w:type="dxa"/>
            <w:vAlign w:val="center"/>
          </w:tcPr>
          <w:p w14:paraId="3F76AD71" w14:textId="77777777" w:rsidR="00206DB2" w:rsidRPr="00206DB2" w:rsidRDefault="00206DB2" w:rsidP="00206DB2">
            <w:pPr>
              <w:jc w:val="right"/>
              <w:rPr>
                <w:rFonts w:ascii="Arial" w:hAnsi="Arial" w:cs="Arial"/>
                <w:b/>
                <w:bCs/>
                <w:color w:val="auto"/>
                <w:sz w:val="18"/>
                <w:szCs w:val="18"/>
              </w:rPr>
            </w:pPr>
            <w:r w:rsidRPr="00206DB2">
              <w:rPr>
                <w:rFonts w:ascii="Arial" w:hAnsi="Arial" w:cs="Arial"/>
                <w:b/>
                <w:bCs/>
                <w:color w:val="auto"/>
                <w:sz w:val="18"/>
                <w:szCs w:val="18"/>
              </w:rPr>
              <w:t>0</w:t>
            </w:r>
          </w:p>
        </w:tc>
        <w:tc>
          <w:tcPr>
            <w:tcW w:w="1924" w:type="dxa"/>
            <w:vAlign w:val="center"/>
          </w:tcPr>
          <w:p w14:paraId="46E88F3C" w14:textId="77777777" w:rsidR="00206DB2" w:rsidRPr="00206DB2" w:rsidRDefault="00206DB2" w:rsidP="00206DB2">
            <w:pPr>
              <w:jc w:val="right"/>
              <w:rPr>
                <w:rFonts w:ascii="Arial" w:hAnsi="Arial" w:cs="Arial"/>
                <w:b/>
                <w:bCs/>
                <w:color w:val="auto"/>
                <w:sz w:val="18"/>
                <w:szCs w:val="18"/>
              </w:rPr>
            </w:pPr>
            <w:r w:rsidRPr="00206DB2">
              <w:rPr>
                <w:rFonts w:ascii="Arial" w:hAnsi="Arial" w:cs="Arial"/>
                <w:b/>
                <w:bCs/>
                <w:color w:val="auto"/>
                <w:sz w:val="18"/>
                <w:szCs w:val="18"/>
              </w:rPr>
              <w:t>96</w:t>
            </w:r>
          </w:p>
        </w:tc>
        <w:tc>
          <w:tcPr>
            <w:tcW w:w="1139" w:type="dxa"/>
            <w:vAlign w:val="center"/>
          </w:tcPr>
          <w:p w14:paraId="62CBB9B3" w14:textId="77777777" w:rsidR="00206DB2" w:rsidRPr="00206DB2" w:rsidRDefault="00206DB2" w:rsidP="00206DB2">
            <w:pPr>
              <w:jc w:val="right"/>
              <w:rPr>
                <w:rFonts w:ascii="Arial" w:hAnsi="Arial" w:cs="Arial"/>
                <w:b/>
                <w:bCs/>
                <w:color w:val="auto"/>
                <w:sz w:val="18"/>
                <w:szCs w:val="18"/>
              </w:rPr>
            </w:pPr>
            <w:r w:rsidRPr="00206DB2">
              <w:rPr>
                <w:rFonts w:ascii="Arial" w:hAnsi="Arial" w:cs="Arial"/>
                <w:b/>
                <w:bCs/>
                <w:color w:val="auto"/>
                <w:sz w:val="18"/>
                <w:szCs w:val="18"/>
              </w:rPr>
              <w:t xml:space="preserve">22% </w:t>
            </w:r>
          </w:p>
        </w:tc>
      </w:tr>
    </w:tbl>
    <w:p w14:paraId="60E48290" w14:textId="77777777" w:rsidR="00206DB2" w:rsidRPr="00206DB2" w:rsidRDefault="00206DB2" w:rsidP="00206DB2">
      <w:pPr>
        <w:keepNext/>
        <w:suppressAutoHyphens/>
        <w:spacing w:after="0" w:line="260" w:lineRule="exact"/>
        <w:ind w:right="-851"/>
        <w:jc w:val="both"/>
        <w:rPr>
          <w:rFonts w:eastAsia="Times New Roman" w:cs="Arial"/>
          <w:b/>
          <w:bCs/>
          <w:szCs w:val="20"/>
          <w:lang w:eastAsia="en-GB"/>
        </w:rPr>
      </w:pPr>
    </w:p>
    <w:p w14:paraId="3971BAF6" w14:textId="77777777" w:rsidR="00206DB2" w:rsidRPr="00206DB2" w:rsidRDefault="00206DB2" w:rsidP="00206DB2">
      <w:pPr>
        <w:spacing w:after="0" w:line="280" w:lineRule="exact"/>
        <w:ind w:right="-851"/>
        <w:jc w:val="both"/>
        <w:rPr>
          <w:color w:val="auto"/>
          <w:sz w:val="18"/>
          <w:szCs w:val="18"/>
        </w:rPr>
      </w:pPr>
      <w:r w:rsidRPr="00206DB2">
        <w:rPr>
          <w:color w:val="auto"/>
          <w:sz w:val="18"/>
          <w:szCs w:val="18"/>
          <w:vertAlign w:val="superscript"/>
        </w:rPr>
        <w:t xml:space="preserve">1 </w:t>
      </w:r>
      <w:r w:rsidRPr="00206DB2">
        <w:rPr>
          <w:color w:val="auto"/>
          <w:sz w:val="18"/>
          <w:szCs w:val="18"/>
        </w:rPr>
        <w:t>Derived from Table 3</w:t>
      </w:r>
    </w:p>
    <w:p w14:paraId="5B1E3161" w14:textId="77777777" w:rsidR="00206DB2" w:rsidRPr="00206DB2" w:rsidRDefault="00206DB2" w:rsidP="006C206C">
      <w:pPr>
        <w:ind w:right="-425"/>
        <w:rPr>
          <w:rFonts w:ascii="Arial" w:hAnsi="Arial" w:cs="Arial"/>
        </w:rPr>
      </w:pPr>
    </w:p>
    <w:p w14:paraId="3059310D" w14:textId="77777777" w:rsidR="00206DB2" w:rsidRPr="00206DB2" w:rsidRDefault="00206DB2" w:rsidP="00206DB2">
      <w:pPr>
        <w:ind w:left="426" w:right="-851" w:hanging="426"/>
        <w:rPr>
          <w:rFonts w:ascii="Arial" w:hAnsi="Arial" w:cs="Arial"/>
        </w:rPr>
      </w:pPr>
      <w:r w:rsidRPr="00206DB2">
        <w:rPr>
          <w:rFonts w:ascii="Arial" w:hAnsi="Arial" w:cs="Arial"/>
        </w:rPr>
        <w:t>1.2 Response rates</w:t>
      </w:r>
    </w:p>
    <w:p w14:paraId="68BB9F41" w14:textId="77777777" w:rsidR="00206DB2" w:rsidRPr="00206DB2" w:rsidRDefault="00206DB2" w:rsidP="00206DB2">
      <w:pPr>
        <w:ind w:right="-851"/>
        <w:rPr>
          <w:rFonts w:ascii="Arial" w:hAnsi="Arial" w:cs="Arial"/>
        </w:rPr>
      </w:pPr>
      <w:r w:rsidRPr="00206DB2">
        <w:rPr>
          <w:rFonts w:ascii="Arial" w:hAnsi="Arial" w:cs="Arial"/>
        </w:rPr>
        <w:t>LaingBuisson fully validated twenty-one toolkit submissions. There were no partially validated zero toolkit submissions, meaning those for which one or more (but not all) of the cost lines had been validated. The twenty-one fully validated toolkits represent a response rate of 22% of home care providers in scope. For each individual cost line, the effective response rate was lower, see Table 3 for the number of respondents (in brackets) for each individual cost line.  No cost line has 21 validated responses.</w:t>
      </w:r>
    </w:p>
    <w:p w14:paraId="00D97129" w14:textId="77777777" w:rsidR="00206DB2" w:rsidRPr="00206DB2" w:rsidRDefault="00206DB2" w:rsidP="00206DB2">
      <w:pPr>
        <w:ind w:left="426" w:right="-851" w:hanging="426"/>
        <w:rPr>
          <w:rFonts w:ascii="Arial" w:hAnsi="Arial" w:cs="Arial"/>
        </w:rPr>
      </w:pPr>
      <w:r w:rsidRPr="00206DB2">
        <w:rPr>
          <w:rFonts w:ascii="Arial" w:hAnsi="Arial" w:cs="Arial"/>
        </w:rPr>
        <w:t xml:space="preserve">1.3 </w:t>
      </w:r>
      <w:r w:rsidRPr="00206DB2">
        <w:rPr>
          <w:rFonts w:ascii="Arial" w:hAnsi="Arial" w:cs="Arial"/>
        </w:rPr>
        <w:tab/>
        <w:t>Methodology - validation, correction of anomalies, outlier exclusions and calculation of medians</w:t>
      </w:r>
    </w:p>
    <w:p w14:paraId="30D6DEA1" w14:textId="77777777" w:rsidR="00206DB2" w:rsidRPr="00206DB2" w:rsidRDefault="00206DB2" w:rsidP="00206DB2">
      <w:pPr>
        <w:ind w:right="-851"/>
        <w:rPr>
          <w:rFonts w:ascii="Arial" w:hAnsi="Arial" w:cs="Arial"/>
        </w:rPr>
      </w:pPr>
      <w:r w:rsidRPr="00206DB2">
        <w:rPr>
          <w:rFonts w:ascii="Arial" w:hAnsi="Arial" w:cs="Arial"/>
        </w:rPr>
        <w:t>The methodology for calculating median costs from the submitted toolkits is described in Sections 2.4 to 2.6.</w:t>
      </w:r>
    </w:p>
    <w:p w14:paraId="3E278AD3" w14:textId="77777777" w:rsidR="00206DB2" w:rsidRPr="00206DB2" w:rsidRDefault="00206DB2" w:rsidP="00206DB2">
      <w:pPr>
        <w:ind w:left="426" w:right="-851" w:hanging="426"/>
        <w:rPr>
          <w:rFonts w:ascii="Arial" w:hAnsi="Arial" w:cs="Arial"/>
        </w:rPr>
      </w:pPr>
      <w:r w:rsidRPr="00206DB2">
        <w:rPr>
          <w:rFonts w:ascii="Arial" w:hAnsi="Arial" w:cs="Arial"/>
        </w:rPr>
        <w:t xml:space="preserve">1.4 </w:t>
      </w:r>
      <w:r w:rsidRPr="00206DB2">
        <w:rPr>
          <w:rFonts w:ascii="Arial" w:hAnsi="Arial" w:cs="Arial"/>
        </w:rPr>
        <w:tab/>
        <w:t>Sensitivity analysis</w:t>
      </w:r>
    </w:p>
    <w:p w14:paraId="0E0598CF" w14:textId="77777777" w:rsidR="00206DB2" w:rsidRPr="00206DB2" w:rsidRDefault="00206DB2" w:rsidP="00206DB2">
      <w:pPr>
        <w:ind w:right="-851"/>
        <w:rPr>
          <w:rFonts w:ascii="Arial" w:hAnsi="Arial" w:cs="Arial"/>
        </w:rPr>
      </w:pPr>
      <w:r w:rsidRPr="00206DB2">
        <w:rPr>
          <w:rFonts w:ascii="Arial" w:hAnsi="Arial" w:cs="Arial"/>
        </w:rPr>
        <w:t>The results set out in Table 1 and Table 3 are sensitive to the return on operations benchmark determined by the council, Section 2.9, and to the outlier exclusion rules applied, Section 2.6.1.</w:t>
      </w:r>
    </w:p>
    <w:p w14:paraId="07C3F865" w14:textId="77777777" w:rsidR="00206DB2" w:rsidRPr="00206DB2" w:rsidRDefault="00206DB2" w:rsidP="00206DB2">
      <w:pPr>
        <w:ind w:left="426" w:right="-851" w:hanging="426"/>
        <w:rPr>
          <w:rFonts w:ascii="Arial" w:hAnsi="Arial" w:cs="Arial"/>
        </w:rPr>
      </w:pPr>
      <w:r w:rsidRPr="00206DB2">
        <w:rPr>
          <w:rFonts w:ascii="Arial" w:hAnsi="Arial" w:cs="Arial"/>
        </w:rPr>
        <w:t>1.5</w:t>
      </w:r>
      <w:r w:rsidRPr="00206DB2">
        <w:rPr>
          <w:rFonts w:ascii="Arial" w:hAnsi="Arial" w:cs="Arial"/>
        </w:rPr>
        <w:tab/>
        <w:t>Considerations</w:t>
      </w:r>
    </w:p>
    <w:p w14:paraId="041D0134" w14:textId="469B35E8" w:rsidR="00206DB2" w:rsidRPr="00206DB2" w:rsidRDefault="00206DB2" w:rsidP="00206DB2">
      <w:pPr>
        <w:ind w:right="-851"/>
        <w:rPr>
          <w:rFonts w:ascii="Arial" w:hAnsi="Arial" w:cs="Arial"/>
        </w:rPr>
      </w:pPr>
      <w:r w:rsidRPr="00206DB2">
        <w:rPr>
          <w:rFonts w:ascii="Arial" w:hAnsi="Arial" w:cs="Arial"/>
        </w:rPr>
        <w:t xml:space="preserve">The overall validated response rate was 22% of all domiciliary care providers in scope. It was felt that this </w:t>
      </w:r>
      <w:r w:rsidR="00BE2ACF" w:rsidRPr="00206DB2">
        <w:rPr>
          <w:rFonts w:ascii="Arial" w:hAnsi="Arial" w:cs="Arial"/>
        </w:rPr>
        <w:t>may not be</w:t>
      </w:r>
      <w:r w:rsidRPr="00206DB2">
        <w:rPr>
          <w:rFonts w:ascii="Arial" w:hAnsi="Arial" w:cs="Arial"/>
        </w:rPr>
        <w:t xml:space="preserve"> a sufficient proportion of returns to be able to make a fair assumption on the rate, especially as there were no large corporate group services among the respondents. In addition, there was not a sufficiently broad geographical spread of providers - see 2.7.1.</w:t>
      </w:r>
    </w:p>
    <w:p w14:paraId="67C3D871" w14:textId="77777777" w:rsidR="00206DB2" w:rsidRPr="00206DB2" w:rsidRDefault="00206DB2" w:rsidP="00610FD0">
      <w:pPr>
        <w:ind w:right="-851"/>
        <w:jc w:val="both"/>
        <w:rPr>
          <w:rFonts w:ascii="Arial" w:hAnsi="Arial" w:cs="Arial"/>
        </w:rPr>
      </w:pPr>
      <w:r w:rsidRPr="00206DB2">
        <w:rPr>
          <w:rFonts w:ascii="Arial" w:hAnsi="Arial" w:cs="Arial"/>
        </w:rPr>
        <w:lastRenderedPageBreak/>
        <w:t>LaingBuisson noted some serious anomalies around business costs which included staff doubling up as care workers and as back-office staff members, leading to possible double counting, and back-office staff being used to support other business lines, leading to possible overstatement of costs. They also noted that toolkit submissions for business costs stood out as being substantially higher than the benchmark cost for ‘Running the businesses within the Homecare Association’s pro forma minimum cost structure presented in Table 4. The balance of evidence is that many of the toolkit submissions did overstate Total Business Costs.</w:t>
      </w:r>
    </w:p>
    <w:p w14:paraId="5F535BDD" w14:textId="7549F3BF" w:rsidR="00206DB2" w:rsidRPr="00206DB2" w:rsidRDefault="00206DB2" w:rsidP="00610FD0">
      <w:pPr>
        <w:ind w:right="-851"/>
        <w:jc w:val="both"/>
        <w:rPr>
          <w:rFonts w:ascii="Arial" w:hAnsi="Arial" w:cs="Arial"/>
        </w:rPr>
      </w:pPr>
      <w:r w:rsidRPr="00206DB2">
        <w:rPr>
          <w:rFonts w:ascii="Arial" w:hAnsi="Arial" w:cs="Arial"/>
        </w:rPr>
        <w:t xml:space="preserve">Business costs were at a median of £9.99 compared to the Homecare Association’s national minimum pro forma cost structure which cited business costs as £5.95. This latter figure is supported by Oxfordshire’s previous Cost of Care exercise commissioned in 2020 which returned business costs at £5.94 per hour, which would rise to £6.20 when inflated for 2022/23 prices. On this basis the Council has determined it should accept business costs at the higher of these two figures at £6.20 per hour. </w:t>
      </w:r>
      <w:r w:rsidRPr="00206DB2">
        <w:rPr>
          <w:rFonts w:ascii="Arial" w:hAnsi="Arial" w:cs="Arial"/>
          <w:b/>
          <w:bCs/>
        </w:rPr>
        <w:t xml:space="preserve">This </w:t>
      </w:r>
      <w:r w:rsidR="00CA2B64">
        <w:rPr>
          <w:rFonts w:ascii="Arial" w:hAnsi="Arial" w:cs="Arial"/>
          <w:b/>
          <w:bCs/>
        </w:rPr>
        <w:t>sets</w:t>
      </w:r>
      <w:r w:rsidRPr="00206DB2">
        <w:rPr>
          <w:rFonts w:ascii="Arial" w:hAnsi="Arial" w:cs="Arial"/>
          <w:b/>
          <w:bCs/>
        </w:rPr>
        <w:t xml:space="preserve"> </w:t>
      </w:r>
      <w:r w:rsidR="00A50626">
        <w:rPr>
          <w:rFonts w:ascii="Arial" w:hAnsi="Arial" w:cs="Arial"/>
          <w:b/>
          <w:bCs/>
        </w:rPr>
        <w:t>Oxfordshire County Council’s</w:t>
      </w:r>
      <w:r w:rsidR="00A50626" w:rsidRPr="00206DB2">
        <w:rPr>
          <w:rFonts w:ascii="Arial" w:hAnsi="Arial" w:cs="Arial"/>
          <w:b/>
          <w:bCs/>
        </w:rPr>
        <w:t xml:space="preserve"> </w:t>
      </w:r>
      <w:r w:rsidRPr="00206DB2">
        <w:rPr>
          <w:rFonts w:ascii="Arial" w:hAnsi="Arial" w:cs="Arial"/>
          <w:b/>
          <w:bCs/>
        </w:rPr>
        <w:t>Cost of Care rate at £26.15.</w:t>
      </w:r>
    </w:p>
    <w:p w14:paraId="1BF80DF2" w14:textId="77777777" w:rsidR="00206DB2" w:rsidRPr="00206DB2" w:rsidRDefault="00206DB2" w:rsidP="00610FD0">
      <w:pPr>
        <w:ind w:right="-851"/>
        <w:jc w:val="both"/>
        <w:rPr>
          <w:rFonts w:ascii="Arial" w:hAnsi="Arial" w:cs="Arial"/>
        </w:rPr>
      </w:pPr>
      <w:r w:rsidRPr="00206DB2">
        <w:rPr>
          <w:rFonts w:ascii="Arial" w:hAnsi="Arial" w:cs="Arial"/>
        </w:rPr>
        <w:t>In determining an appropriate rate for return on operations, Oxfordshire considered a number of factors:</w:t>
      </w:r>
    </w:p>
    <w:p w14:paraId="163BBC88" w14:textId="77777777" w:rsidR="00206DB2" w:rsidRPr="00206DB2" w:rsidRDefault="00206DB2" w:rsidP="00610FD0">
      <w:pPr>
        <w:numPr>
          <w:ilvl w:val="0"/>
          <w:numId w:val="29"/>
        </w:numPr>
        <w:tabs>
          <w:tab w:val="left" w:pos="284"/>
        </w:tabs>
        <w:ind w:left="426" w:right="-851" w:hanging="426"/>
        <w:contextualSpacing/>
        <w:jc w:val="both"/>
        <w:rPr>
          <w:rFonts w:ascii="Arial" w:hAnsi="Arial" w:cs="Arial"/>
        </w:rPr>
      </w:pPr>
      <w:r w:rsidRPr="00206DB2">
        <w:rPr>
          <w:rFonts w:ascii="Arial" w:hAnsi="Arial" w:cs="Arial"/>
        </w:rPr>
        <w:t xml:space="preserve">In July 2020, Oxfordshire County Council instructed Valuing Care to undertake a review of the home care market in Oxfordshire. The objective of the review was to provide the Council with the necessary intelligence to develop a range of actions to ensure a sustainable market and deliver the required quality and capacity of service to meet the needs of the local population. </w:t>
      </w:r>
    </w:p>
    <w:p w14:paraId="0CBC690D" w14:textId="184A5D94" w:rsidR="00206DB2" w:rsidRPr="00206DB2" w:rsidRDefault="00206DB2" w:rsidP="00610FD0">
      <w:pPr>
        <w:ind w:left="426" w:right="-851"/>
        <w:jc w:val="both"/>
        <w:rPr>
          <w:rFonts w:ascii="Arial" w:hAnsi="Arial" w:cs="Arial"/>
        </w:rPr>
      </w:pPr>
      <w:r w:rsidRPr="00206DB2">
        <w:rPr>
          <w:rFonts w:ascii="Arial" w:hAnsi="Arial" w:cs="Arial"/>
        </w:rPr>
        <w:t xml:space="preserve">With regards to the return on operation the Valuing Care report stated a range of 3 - 7.5% in the responses and their outcome total hourly rate was based on 5% mark-up. This formed the basis for the Council’s Live Well at Home framework rate. Valuing Care suggested that the return on operations element was the reward for delivering the care service, stating that what constitutes a fair level is subjective and it is an area where Commissioners may choose to apply some discretion. </w:t>
      </w:r>
    </w:p>
    <w:p w14:paraId="3316E1AE" w14:textId="77777777" w:rsidR="00206DB2" w:rsidRPr="00206DB2" w:rsidRDefault="00206DB2" w:rsidP="00610FD0">
      <w:pPr>
        <w:numPr>
          <w:ilvl w:val="0"/>
          <w:numId w:val="29"/>
        </w:numPr>
        <w:ind w:left="426" w:right="-851" w:hanging="426"/>
        <w:contextualSpacing/>
        <w:jc w:val="both"/>
        <w:rPr>
          <w:rFonts w:ascii="Arial" w:hAnsi="Arial" w:cs="Arial"/>
        </w:rPr>
      </w:pPr>
      <w:r w:rsidRPr="00206DB2">
        <w:rPr>
          <w:rFonts w:ascii="Arial" w:hAnsi="Arial" w:cs="Arial"/>
        </w:rPr>
        <w:t>LaingBuisson’s supporting evidence shows industry averages at 3.9% in 2016 and most recently 6.3% in 2018 and 2019 and 6.9% in 2020.</w:t>
      </w:r>
    </w:p>
    <w:p w14:paraId="0FDC8E68" w14:textId="77777777" w:rsidR="00206DB2" w:rsidRPr="00206DB2" w:rsidRDefault="00206DB2" w:rsidP="00610FD0">
      <w:pPr>
        <w:ind w:left="426" w:right="-851" w:hanging="426"/>
        <w:contextualSpacing/>
        <w:jc w:val="both"/>
        <w:rPr>
          <w:rFonts w:ascii="Arial" w:hAnsi="Arial" w:cs="Arial"/>
        </w:rPr>
      </w:pPr>
    </w:p>
    <w:p w14:paraId="1B4FD61E" w14:textId="77777777" w:rsidR="00206DB2" w:rsidRPr="00206DB2" w:rsidRDefault="00206DB2" w:rsidP="00610FD0">
      <w:pPr>
        <w:numPr>
          <w:ilvl w:val="0"/>
          <w:numId w:val="29"/>
        </w:numPr>
        <w:ind w:left="426" w:right="-851" w:hanging="426"/>
        <w:contextualSpacing/>
        <w:jc w:val="both"/>
        <w:rPr>
          <w:rFonts w:ascii="Arial" w:hAnsi="Arial" w:cs="Arial"/>
        </w:rPr>
      </w:pPr>
      <w:r w:rsidRPr="00206DB2">
        <w:rPr>
          <w:rFonts w:ascii="Arial" w:hAnsi="Arial" w:cs="Arial"/>
        </w:rPr>
        <w:t>The Homecare Association suggests a 3% minimum although LaingBuisson suggest this is unrealistically low.</w:t>
      </w:r>
    </w:p>
    <w:p w14:paraId="60D6086D" w14:textId="77777777" w:rsidR="00206DB2" w:rsidRPr="00206DB2" w:rsidRDefault="00206DB2" w:rsidP="00610FD0">
      <w:pPr>
        <w:ind w:left="426" w:right="-851" w:hanging="426"/>
        <w:contextualSpacing/>
        <w:jc w:val="both"/>
        <w:rPr>
          <w:rFonts w:ascii="Arial" w:hAnsi="Arial" w:cs="Arial"/>
        </w:rPr>
      </w:pPr>
    </w:p>
    <w:p w14:paraId="0E0E1B09" w14:textId="48DA840B" w:rsidR="00206DB2" w:rsidRPr="00206DB2" w:rsidRDefault="00206DB2" w:rsidP="00610FD0">
      <w:pPr>
        <w:numPr>
          <w:ilvl w:val="0"/>
          <w:numId w:val="29"/>
        </w:numPr>
        <w:ind w:left="426" w:right="-851" w:hanging="426"/>
        <w:contextualSpacing/>
        <w:jc w:val="both"/>
        <w:rPr>
          <w:rFonts w:ascii="Arial" w:hAnsi="Arial" w:cs="Arial"/>
        </w:rPr>
      </w:pPr>
      <w:r w:rsidRPr="00206DB2">
        <w:rPr>
          <w:rFonts w:ascii="Arial" w:hAnsi="Arial" w:cs="Arial"/>
        </w:rPr>
        <w:t>The average of homecare toolkit submissions in Oxfordshire for the cost of care exercise was 4.8%</w:t>
      </w:r>
      <w:r w:rsidR="00FC23BE">
        <w:rPr>
          <w:rFonts w:ascii="Arial" w:hAnsi="Arial" w:cs="Arial"/>
        </w:rPr>
        <w:t xml:space="preserve"> </w:t>
      </w:r>
    </w:p>
    <w:p w14:paraId="4E2FEF27" w14:textId="77777777" w:rsidR="00206DB2" w:rsidRPr="00206DB2" w:rsidRDefault="00206DB2" w:rsidP="00610FD0">
      <w:pPr>
        <w:ind w:left="426" w:right="-851" w:hanging="426"/>
        <w:contextualSpacing/>
        <w:jc w:val="both"/>
        <w:rPr>
          <w:rFonts w:ascii="Arial" w:hAnsi="Arial" w:cs="Arial"/>
        </w:rPr>
      </w:pPr>
    </w:p>
    <w:p w14:paraId="566EC8E5" w14:textId="4629D0BC" w:rsidR="006C206C" w:rsidRDefault="00206DB2" w:rsidP="00610FD0">
      <w:pPr>
        <w:numPr>
          <w:ilvl w:val="0"/>
          <w:numId w:val="29"/>
        </w:numPr>
        <w:tabs>
          <w:tab w:val="left" w:pos="284"/>
        </w:tabs>
        <w:ind w:left="426" w:right="-851" w:hanging="426"/>
        <w:contextualSpacing/>
        <w:jc w:val="both"/>
        <w:rPr>
          <w:rFonts w:ascii="Arial" w:hAnsi="Arial" w:cs="Arial"/>
        </w:rPr>
      </w:pPr>
      <w:r w:rsidRPr="00206DB2">
        <w:rPr>
          <w:rFonts w:ascii="Arial" w:hAnsi="Arial" w:cs="Arial"/>
        </w:rPr>
        <w:t>An IBISWorld report on Domiciliary Care in the UK from 2021, indicated that the industry profit margin has been falling over the previous 5 years and was expected to be 3.1% for 2021.</w:t>
      </w:r>
    </w:p>
    <w:p w14:paraId="4D398D72" w14:textId="77777777" w:rsidR="006C206C" w:rsidRPr="006C206C" w:rsidRDefault="006C206C" w:rsidP="00610FD0">
      <w:pPr>
        <w:tabs>
          <w:tab w:val="left" w:pos="284"/>
        </w:tabs>
        <w:spacing w:after="0"/>
        <w:ind w:right="-851"/>
        <w:contextualSpacing/>
        <w:jc w:val="both"/>
        <w:rPr>
          <w:rFonts w:ascii="Arial" w:hAnsi="Arial" w:cs="Arial"/>
        </w:rPr>
      </w:pPr>
    </w:p>
    <w:p w14:paraId="5E62FB78" w14:textId="77777777" w:rsidR="006C206C" w:rsidRPr="00206DB2" w:rsidRDefault="006C206C" w:rsidP="00610FD0">
      <w:pPr>
        <w:spacing w:after="0"/>
        <w:ind w:right="-851"/>
        <w:jc w:val="both"/>
        <w:rPr>
          <w:rFonts w:ascii="Arial" w:hAnsi="Arial" w:cs="Arial"/>
        </w:rPr>
      </w:pPr>
    </w:p>
    <w:p w14:paraId="296BE2D9" w14:textId="217E8CB0" w:rsidR="00206DB2" w:rsidRDefault="006C206C" w:rsidP="00610FD0">
      <w:pPr>
        <w:ind w:right="-851"/>
        <w:contextualSpacing/>
        <w:jc w:val="both"/>
        <w:rPr>
          <w:rFonts w:ascii="Arial" w:hAnsi="Arial" w:cs="Arial"/>
          <w:b/>
          <w:bCs/>
        </w:rPr>
      </w:pPr>
      <w:r>
        <w:rPr>
          <w:rFonts w:ascii="Arial" w:hAnsi="Arial" w:cs="Arial"/>
          <w:b/>
          <w:bCs/>
        </w:rPr>
        <w:t xml:space="preserve">2.   </w:t>
      </w:r>
      <w:r>
        <w:rPr>
          <w:rFonts w:ascii="Arial" w:hAnsi="Arial" w:cs="Arial"/>
          <w:b/>
          <w:bCs/>
        </w:rPr>
        <w:tab/>
      </w:r>
      <w:r w:rsidR="00206DB2" w:rsidRPr="00206DB2">
        <w:rPr>
          <w:rFonts w:ascii="Arial" w:hAnsi="Arial" w:cs="Arial"/>
          <w:b/>
          <w:bCs/>
        </w:rPr>
        <w:t xml:space="preserve"> COST OF CARE RESULTS FOR SUBMISSION TO DHSC</w:t>
      </w:r>
    </w:p>
    <w:p w14:paraId="1F79905B" w14:textId="77777777" w:rsidR="007E48F2" w:rsidRPr="00206DB2" w:rsidRDefault="007E48F2" w:rsidP="00610FD0">
      <w:pPr>
        <w:ind w:right="-851"/>
        <w:contextualSpacing/>
        <w:jc w:val="both"/>
        <w:rPr>
          <w:rFonts w:ascii="Arial" w:hAnsi="Arial" w:cs="Arial"/>
          <w:b/>
          <w:bCs/>
        </w:rPr>
      </w:pPr>
    </w:p>
    <w:p w14:paraId="2AEA7334" w14:textId="1171B56E" w:rsidR="00206DB2" w:rsidRPr="00206DB2" w:rsidRDefault="00206DB2" w:rsidP="00610FD0">
      <w:pPr>
        <w:ind w:right="-851"/>
        <w:jc w:val="both"/>
        <w:rPr>
          <w:rFonts w:ascii="Arial" w:hAnsi="Arial" w:cs="Arial"/>
        </w:rPr>
      </w:pPr>
      <w:r w:rsidRPr="00206DB2">
        <w:rPr>
          <w:rFonts w:ascii="Arial" w:hAnsi="Arial" w:cs="Arial"/>
        </w:rPr>
        <w:t xml:space="preserve">2.1 </w:t>
      </w:r>
      <w:r w:rsidR="006C206C">
        <w:rPr>
          <w:rFonts w:ascii="Arial" w:hAnsi="Arial" w:cs="Arial"/>
        </w:rPr>
        <w:tab/>
      </w:r>
      <w:r w:rsidRPr="00206DB2">
        <w:rPr>
          <w:rFonts w:ascii="Arial" w:hAnsi="Arial" w:cs="Arial"/>
        </w:rPr>
        <w:t>The ARCC / LGA toolkit</w:t>
      </w:r>
    </w:p>
    <w:p w14:paraId="7F525998" w14:textId="77777777" w:rsidR="00206DB2" w:rsidRPr="00206DB2" w:rsidRDefault="00206DB2" w:rsidP="00610FD0">
      <w:pPr>
        <w:ind w:right="-851"/>
        <w:jc w:val="both"/>
        <w:rPr>
          <w:rFonts w:ascii="Arial" w:hAnsi="Arial" w:cs="Arial"/>
        </w:rPr>
      </w:pPr>
      <w:r w:rsidRPr="00206DB2">
        <w:rPr>
          <w:rFonts w:ascii="Arial" w:hAnsi="Arial" w:cs="Arial"/>
        </w:rPr>
        <w:t xml:space="preserve">Oxfordshire County Council opted to use the cost of care toolkit developed by ARCC in partnership with the Local Government Association. The ARCC toolkit takes the form of an Excel spreadsheet with a mix of editable and locked cells addressing different costs associated with domiciliary care business operations. The toolkit allows providers to enter their costs and other relevant data while internal calculations in protected parts of the spreadsheet re-present costs in a Data Output tab, in the format </w:t>
      </w:r>
      <w:r w:rsidRPr="00206DB2">
        <w:rPr>
          <w:rFonts w:ascii="Arial" w:hAnsi="Arial" w:cs="Arial"/>
        </w:rPr>
        <w:lastRenderedPageBreak/>
        <w:t>required for reporting results to DHSC. It should also be noted that several providers insisted on remaining anonymous, limiting our ability to make meaningful comparisons and to be confident that all relevant information has been supplied.   This in turn has reduced trust and confidence in the quality of the returns.</w:t>
      </w:r>
    </w:p>
    <w:p w14:paraId="154415E8" w14:textId="1E8CDC56" w:rsidR="00206DB2" w:rsidRPr="00206DB2" w:rsidRDefault="00206DB2" w:rsidP="00610FD0">
      <w:pPr>
        <w:ind w:right="-851"/>
        <w:jc w:val="both"/>
        <w:rPr>
          <w:rFonts w:ascii="Arial" w:hAnsi="Arial" w:cs="Arial"/>
        </w:rPr>
      </w:pPr>
      <w:r w:rsidRPr="00206DB2">
        <w:rPr>
          <w:rFonts w:ascii="Arial" w:hAnsi="Arial" w:cs="Arial"/>
        </w:rPr>
        <w:t xml:space="preserve">Domiciliary care providers submitted their completed toolkit spreadsheets to the Council and to LaingBuisson who undertook the </w:t>
      </w:r>
      <w:r w:rsidR="00FC23BE">
        <w:rPr>
          <w:rFonts w:ascii="Arial" w:hAnsi="Arial" w:cs="Arial"/>
        </w:rPr>
        <w:t>Cost of Care</w:t>
      </w:r>
      <w:r w:rsidR="00FC23BE" w:rsidRPr="00206DB2">
        <w:rPr>
          <w:rFonts w:ascii="Arial" w:hAnsi="Arial" w:cs="Arial"/>
        </w:rPr>
        <w:t xml:space="preserve"> </w:t>
      </w:r>
      <w:r w:rsidRPr="00206DB2">
        <w:rPr>
          <w:rFonts w:ascii="Arial" w:hAnsi="Arial" w:cs="Arial"/>
        </w:rPr>
        <w:t xml:space="preserve">exercise. Unlike the approved care home toolkit, domiciliary care cost data is held only in the toolkit spreadsheets. It is not held or maintained in any online portal. </w:t>
      </w:r>
    </w:p>
    <w:p w14:paraId="70091828" w14:textId="77777777" w:rsidR="00206DB2" w:rsidRPr="00206DB2" w:rsidRDefault="00206DB2" w:rsidP="00610FD0">
      <w:pPr>
        <w:ind w:right="-851"/>
        <w:jc w:val="both"/>
        <w:rPr>
          <w:rFonts w:ascii="Arial" w:hAnsi="Arial" w:cs="Arial"/>
          <w:sz w:val="20"/>
          <w:szCs w:val="20"/>
        </w:rPr>
      </w:pPr>
      <w:r w:rsidRPr="00206DB2">
        <w:rPr>
          <w:rFonts w:ascii="Arial" w:hAnsi="Arial" w:cs="Arial"/>
        </w:rPr>
        <w:t>2.2 Services in scope</w:t>
      </w:r>
    </w:p>
    <w:p w14:paraId="27F09D2F" w14:textId="77777777" w:rsidR="00206DB2" w:rsidRPr="00206DB2" w:rsidRDefault="00206DB2" w:rsidP="00610FD0">
      <w:pPr>
        <w:ind w:right="-851"/>
        <w:jc w:val="both"/>
        <w:rPr>
          <w:rFonts w:ascii="Arial" w:hAnsi="Arial" w:cs="Arial"/>
        </w:rPr>
      </w:pPr>
      <w:r w:rsidRPr="00206DB2">
        <w:rPr>
          <w:rFonts w:ascii="Arial" w:hAnsi="Arial" w:cs="Arial"/>
        </w:rPr>
        <w:t xml:space="preserve">There were ninety-six domiciliary care services in scope, with a CQC registered address located within the boundaries of Oxfordshire County. In scope services included for-profit and not-for-profit providers which predominantly offer visiting domiciliary care to adults aged eighteen or over, funded by local authorities, the NHS or privately. Those which predominantly serve clusters of users at fixed ‘extra care’ or ‘supported living’ locations are not in scope. Out of scope services can usually be identified through their CQC registrations as those with an ‘extra care’ or ‘supported living’ service type, but without a ‘domiciliary care’ service type. </w:t>
      </w:r>
    </w:p>
    <w:p w14:paraId="54CAE838" w14:textId="77777777" w:rsidR="00206DB2" w:rsidRPr="00206DB2" w:rsidRDefault="00206DB2" w:rsidP="00610FD0">
      <w:pPr>
        <w:ind w:right="-851"/>
        <w:jc w:val="both"/>
        <w:rPr>
          <w:rFonts w:ascii="Arial" w:hAnsi="Arial" w:cs="Arial"/>
          <w:b/>
          <w:bCs/>
        </w:rPr>
      </w:pPr>
      <w:r w:rsidRPr="00206DB2">
        <w:rPr>
          <w:rFonts w:ascii="Arial" w:hAnsi="Arial" w:cs="Arial"/>
        </w:rPr>
        <w:t>2.3</w:t>
      </w:r>
      <w:r w:rsidRPr="00206DB2">
        <w:rPr>
          <w:rFonts w:ascii="Arial" w:hAnsi="Arial" w:cs="Arial"/>
          <w:b/>
          <w:bCs/>
        </w:rPr>
        <w:t xml:space="preserve"> </w:t>
      </w:r>
      <w:r w:rsidRPr="00206DB2">
        <w:rPr>
          <w:rFonts w:ascii="Arial" w:hAnsi="Arial" w:cs="Arial"/>
        </w:rPr>
        <w:t>Engagement with providers</w:t>
      </w:r>
    </w:p>
    <w:p w14:paraId="073B8583" w14:textId="77777777" w:rsidR="00206DB2" w:rsidRPr="00206DB2" w:rsidRDefault="00206DB2" w:rsidP="00610FD0">
      <w:pPr>
        <w:ind w:right="-851"/>
        <w:jc w:val="both"/>
        <w:rPr>
          <w:rFonts w:ascii="Arial" w:hAnsi="Arial" w:cs="Arial"/>
        </w:rPr>
      </w:pPr>
      <w:r w:rsidRPr="00206DB2">
        <w:rPr>
          <w:rFonts w:ascii="Arial" w:hAnsi="Arial" w:cs="Arial"/>
        </w:rPr>
        <w:t xml:space="preserve">LaingBuisson worked with the council to engage with providers through a variety of communication channels, including intensive, direct telephone contact with providers to encourage participation and completion of the toolkit. </w:t>
      </w:r>
    </w:p>
    <w:p w14:paraId="117DABEA" w14:textId="77777777" w:rsidR="00206DB2" w:rsidRPr="00206DB2" w:rsidRDefault="00206DB2" w:rsidP="00610FD0">
      <w:pPr>
        <w:ind w:right="-851"/>
        <w:jc w:val="both"/>
        <w:rPr>
          <w:rFonts w:ascii="Arial" w:hAnsi="Arial" w:cs="Arial"/>
        </w:rPr>
      </w:pPr>
      <w:r w:rsidRPr="00206DB2">
        <w:rPr>
          <w:rFonts w:ascii="Arial" w:hAnsi="Arial" w:cs="Arial"/>
        </w:rPr>
        <w:t>Among the providers LaingBuisson were able to make positive contact with, ten gave outright refusals to participate. Reasons given by those who gave outright refusals or otherwise expressed uncertainty and did not submit, were most commonly confidentiality of information sharing, company policy preventing participation in surveys and lack of interest. Additionally, a sizeable proportion of those homecare providers with whom successful contact was made expressed concerns about the lack of time they had available to participate in the exercise, given the number and complexity of the questions within the toolkit, the privacy of data they were expected to submit, and/or about the value of the exercise.  These concerns also reflected the perceived lack of meaningful results from comparable exercises in the past. LaingBuisson were unable to measure the exact extent but expect these issues to have affected the number and quality of submissions received.</w:t>
      </w:r>
    </w:p>
    <w:p w14:paraId="1D38E1C3" w14:textId="77777777" w:rsidR="00206DB2" w:rsidRPr="00206DB2" w:rsidRDefault="00206DB2" w:rsidP="00610FD0">
      <w:pPr>
        <w:ind w:right="-851"/>
        <w:jc w:val="both"/>
        <w:rPr>
          <w:rFonts w:ascii="Arial" w:hAnsi="Arial" w:cs="Arial"/>
        </w:rPr>
      </w:pPr>
      <w:r w:rsidRPr="00206DB2">
        <w:rPr>
          <w:rFonts w:ascii="Arial" w:hAnsi="Arial" w:cs="Arial"/>
        </w:rPr>
        <w:t>2.4 Quality of toolkit submissions</w:t>
      </w:r>
    </w:p>
    <w:p w14:paraId="54F55A45" w14:textId="417BC082" w:rsidR="005273D4" w:rsidRPr="00206DB2" w:rsidRDefault="00206DB2" w:rsidP="006D4E3D">
      <w:pPr>
        <w:ind w:right="-851"/>
        <w:jc w:val="both"/>
        <w:rPr>
          <w:rFonts w:ascii="Arial" w:hAnsi="Arial" w:cs="Arial"/>
        </w:rPr>
      </w:pPr>
      <w:r w:rsidRPr="00206DB2">
        <w:rPr>
          <w:rFonts w:ascii="Arial" w:hAnsi="Arial" w:cs="Arial"/>
        </w:rPr>
        <w:t>LaingBuisson’s experience, gained from similar care cost exercises carried out in recent years, is that the quality of submissions is variable. Large corporate groups typically have the resources to submit consistent and reliable numbers, but SMEs and micro-businesses can find it challenging to deal with the volume and complexity of data requested in toolkits and may leave some questions unanswered and incorrectly answer others. Consequently, it is necessary to apply a robust validation process, including querying anomalous submissions with respondents and assisting them to provide the appropriate data</w:t>
      </w:r>
    </w:p>
    <w:p w14:paraId="5D5B585B" w14:textId="77777777" w:rsidR="00206DB2" w:rsidRPr="00206DB2" w:rsidRDefault="00206DB2" w:rsidP="00206DB2">
      <w:pPr>
        <w:ind w:right="-851"/>
        <w:rPr>
          <w:rFonts w:ascii="Arial" w:hAnsi="Arial" w:cs="Arial"/>
        </w:rPr>
      </w:pPr>
      <w:r w:rsidRPr="00206DB2">
        <w:rPr>
          <w:rFonts w:ascii="Arial" w:hAnsi="Arial" w:cs="Arial"/>
        </w:rPr>
        <w:t>2.5 Validation</w:t>
      </w:r>
    </w:p>
    <w:p w14:paraId="14599173" w14:textId="77777777" w:rsidR="00206DB2" w:rsidRPr="00206DB2" w:rsidRDefault="00206DB2" w:rsidP="00610FD0">
      <w:pPr>
        <w:ind w:right="-851"/>
        <w:jc w:val="both"/>
        <w:rPr>
          <w:rFonts w:ascii="Arial" w:hAnsi="Arial" w:cs="Arial"/>
        </w:rPr>
      </w:pPr>
      <w:r w:rsidRPr="00206DB2">
        <w:rPr>
          <w:rFonts w:ascii="Arial" w:hAnsi="Arial" w:cs="Arial"/>
        </w:rPr>
        <w:t xml:space="preserve">Toolkit submissions were inspected by LaingBuisson and checked for sense and consistency. All respondents were re-contacted by telephone following submission. Among other things, re-contact was </w:t>
      </w:r>
      <w:r w:rsidRPr="00206DB2">
        <w:rPr>
          <w:rFonts w:ascii="Arial" w:hAnsi="Arial" w:cs="Arial"/>
        </w:rPr>
        <w:lastRenderedPageBreak/>
        <w:t>necessary to resolve ambiguities around three specific data points reported in the toolkits, each of which could potentially have a significant impact on reported total costs:</w:t>
      </w:r>
    </w:p>
    <w:p w14:paraId="4B2D9BF4" w14:textId="77777777" w:rsidR="00206DB2" w:rsidRPr="00206DB2" w:rsidRDefault="00206DB2" w:rsidP="00610FD0">
      <w:pPr>
        <w:numPr>
          <w:ilvl w:val="0"/>
          <w:numId w:val="17"/>
        </w:numPr>
        <w:ind w:left="426" w:right="-851" w:hanging="284"/>
        <w:contextualSpacing/>
        <w:jc w:val="both"/>
        <w:rPr>
          <w:rFonts w:ascii="Arial" w:hAnsi="Arial" w:cs="Arial"/>
        </w:rPr>
      </w:pPr>
      <w:r w:rsidRPr="00206DB2">
        <w:rPr>
          <w:rFonts w:ascii="Arial" w:hAnsi="Arial" w:cs="Arial"/>
        </w:rPr>
        <w:t>The year of results, particularly carers’ gross hourly pay rates. The ARCC toolkit does not ask for the year that actual costs relate to, meaning that stated pay rates may relate to either 2021/22 or 2022/23.</w:t>
      </w:r>
    </w:p>
    <w:p w14:paraId="2FC4BBCE" w14:textId="77777777" w:rsidR="00206DB2" w:rsidRPr="00206DB2" w:rsidRDefault="00206DB2" w:rsidP="00610FD0">
      <w:pPr>
        <w:ind w:left="426" w:right="-851" w:hanging="284"/>
        <w:contextualSpacing/>
        <w:jc w:val="both"/>
        <w:rPr>
          <w:rFonts w:ascii="Arial" w:hAnsi="Arial" w:cs="Arial"/>
        </w:rPr>
      </w:pPr>
    </w:p>
    <w:p w14:paraId="29659159" w14:textId="77777777" w:rsidR="00206DB2" w:rsidRPr="00206DB2" w:rsidRDefault="00206DB2" w:rsidP="00610FD0">
      <w:pPr>
        <w:numPr>
          <w:ilvl w:val="0"/>
          <w:numId w:val="17"/>
        </w:numPr>
        <w:ind w:left="426" w:right="-851" w:hanging="284"/>
        <w:contextualSpacing/>
        <w:jc w:val="both"/>
        <w:rPr>
          <w:rFonts w:ascii="Arial" w:hAnsi="Arial" w:cs="Arial"/>
        </w:rPr>
      </w:pPr>
      <w:r w:rsidRPr="00206DB2">
        <w:rPr>
          <w:rFonts w:ascii="Arial" w:hAnsi="Arial" w:cs="Arial"/>
        </w:rPr>
        <w:t>payroll calculation:  the internal formula within the ARCC toolkit calculates direct staffing costs (before on-costs) as gross hourly pay rate X contact + travel hours. However, LaingBuisson understand that the majority of domiciliary care employers calculate payroll as gross hourly pay rate X contact hours only, meaning that ARCC’s internal formula is biased towards overstating staffing costs in many cases, the degree of overstatement depending on the ratio of travel hours to contact hours.</w:t>
      </w:r>
    </w:p>
    <w:p w14:paraId="3885D00F" w14:textId="77777777" w:rsidR="00206DB2" w:rsidRPr="00206DB2" w:rsidRDefault="00206DB2" w:rsidP="00610FD0">
      <w:pPr>
        <w:ind w:left="426" w:right="-851" w:hanging="284"/>
        <w:contextualSpacing/>
        <w:jc w:val="both"/>
        <w:rPr>
          <w:rFonts w:ascii="Arial" w:hAnsi="Arial" w:cs="Arial"/>
        </w:rPr>
      </w:pPr>
    </w:p>
    <w:p w14:paraId="008BA94B" w14:textId="77777777" w:rsidR="00206DB2" w:rsidRPr="00206DB2" w:rsidRDefault="00206DB2" w:rsidP="00610FD0">
      <w:pPr>
        <w:numPr>
          <w:ilvl w:val="0"/>
          <w:numId w:val="17"/>
        </w:numPr>
        <w:ind w:left="426" w:right="-851" w:hanging="284"/>
        <w:contextualSpacing/>
        <w:jc w:val="both"/>
        <w:rPr>
          <w:rFonts w:ascii="Arial" w:hAnsi="Arial" w:cs="Arial"/>
        </w:rPr>
      </w:pPr>
      <w:r w:rsidRPr="00206DB2">
        <w:rPr>
          <w:rFonts w:ascii="Arial" w:hAnsi="Arial" w:cs="Arial"/>
        </w:rPr>
        <w:t>back-office costs, which were highly variable. Some of them accounted for large proportion of total costs. Anomalies which LaingBuisson came across included staff doubling up as care workers and back-office staff members, leading to possible double counting, and back-office staff being used to support other business lines, leading to possible overstatement of costs.</w:t>
      </w:r>
    </w:p>
    <w:p w14:paraId="4F381536" w14:textId="77777777" w:rsidR="007E48F2" w:rsidRDefault="007E48F2" w:rsidP="0091122E">
      <w:pPr>
        <w:spacing w:after="0"/>
        <w:ind w:right="-851"/>
        <w:jc w:val="both"/>
        <w:rPr>
          <w:rFonts w:ascii="Arial" w:hAnsi="Arial" w:cs="Arial"/>
        </w:rPr>
      </w:pPr>
    </w:p>
    <w:p w14:paraId="08EA4D8F" w14:textId="4567250F" w:rsidR="00206DB2" w:rsidRPr="00206DB2" w:rsidRDefault="00206DB2" w:rsidP="00610FD0">
      <w:pPr>
        <w:ind w:right="-851"/>
        <w:jc w:val="both"/>
        <w:rPr>
          <w:rFonts w:ascii="Arial" w:hAnsi="Arial" w:cs="Arial"/>
        </w:rPr>
      </w:pPr>
      <w:r w:rsidRPr="00206DB2">
        <w:rPr>
          <w:rFonts w:ascii="Arial" w:hAnsi="Arial" w:cs="Arial"/>
        </w:rPr>
        <w:t xml:space="preserve">The opportunity presented by the re-contact call was taken to ask some further questions, for the purpose of gathering supplementary information which may be useful for </w:t>
      </w:r>
      <w:r w:rsidR="0005231D">
        <w:rPr>
          <w:rFonts w:ascii="Arial" w:hAnsi="Arial" w:cs="Arial"/>
        </w:rPr>
        <w:t>cost of care</w:t>
      </w:r>
      <w:r w:rsidR="0005231D" w:rsidRPr="00206DB2">
        <w:rPr>
          <w:rFonts w:ascii="Arial" w:hAnsi="Arial" w:cs="Arial"/>
        </w:rPr>
        <w:t xml:space="preserve"> </w:t>
      </w:r>
      <w:r w:rsidRPr="00206DB2">
        <w:rPr>
          <w:rFonts w:ascii="Arial" w:hAnsi="Arial" w:cs="Arial"/>
        </w:rPr>
        <w:t>and also for subsequent market sustainability work</w:t>
      </w:r>
      <w:r w:rsidR="001D45DB">
        <w:rPr>
          <w:rFonts w:ascii="Arial" w:hAnsi="Arial" w:cs="Arial"/>
        </w:rPr>
        <w:t>:</w:t>
      </w:r>
    </w:p>
    <w:p w14:paraId="1FAE19FB"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What is your approximate breakdown of billable hours by funding source? – Local authority, Private, NHS and Others. Unfortunately, however, the homecare response rate was insufficient to estimate the sector-wide funding profile reliably.</w:t>
      </w:r>
    </w:p>
    <w:p w14:paraId="7527658B"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How would you describe your catchment area: Mainly Urban, Urban, Rural, Mainly Rural?</w:t>
      </w:r>
    </w:p>
    <w:p w14:paraId="036F8644"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Which districts do you operate your services in?</w:t>
      </w:r>
    </w:p>
    <w:p w14:paraId="687E84D7"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Are you a For Profit or Not for Profit organisation?</w:t>
      </w:r>
    </w:p>
    <w:p w14:paraId="58BB1767"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Are you an Independent or part of a Group operator?</w:t>
      </w:r>
    </w:p>
    <w:p w14:paraId="1C7DA875"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Are you a Franchisee?</w:t>
      </w:r>
    </w:p>
    <w:p w14:paraId="1BB44269" w14:textId="77777777" w:rsidR="00206DB2" w:rsidRPr="00206DB2" w:rsidRDefault="00206DB2" w:rsidP="00610FD0">
      <w:pPr>
        <w:numPr>
          <w:ilvl w:val="0"/>
          <w:numId w:val="18"/>
        </w:numPr>
        <w:ind w:left="567" w:right="-851" w:hanging="425"/>
        <w:contextualSpacing/>
        <w:jc w:val="both"/>
        <w:rPr>
          <w:rFonts w:ascii="Arial" w:hAnsi="Arial" w:cs="Arial"/>
        </w:rPr>
      </w:pPr>
      <w:r w:rsidRPr="00206DB2">
        <w:rPr>
          <w:rFonts w:ascii="Arial" w:hAnsi="Arial" w:cs="Arial"/>
        </w:rPr>
        <w:t xml:space="preserve">Does gross pay include an element of mileage? If so, please confirm that travel time is not double counted. </w:t>
      </w:r>
    </w:p>
    <w:p w14:paraId="53EC79F5" w14:textId="77777777" w:rsidR="007E48F2" w:rsidRDefault="007E48F2" w:rsidP="0091122E">
      <w:pPr>
        <w:spacing w:after="0"/>
        <w:ind w:right="-851"/>
        <w:jc w:val="both"/>
        <w:rPr>
          <w:rFonts w:ascii="Arial" w:hAnsi="Arial" w:cs="Arial"/>
        </w:rPr>
      </w:pPr>
    </w:p>
    <w:p w14:paraId="6D646892" w14:textId="35929860" w:rsidR="00206DB2" w:rsidRPr="00206DB2" w:rsidRDefault="00206DB2" w:rsidP="00610FD0">
      <w:pPr>
        <w:ind w:right="-851"/>
        <w:jc w:val="both"/>
        <w:rPr>
          <w:rFonts w:ascii="Arial" w:hAnsi="Arial" w:cs="Arial"/>
        </w:rPr>
      </w:pPr>
      <w:r w:rsidRPr="00206DB2">
        <w:rPr>
          <w:rFonts w:ascii="Arial" w:hAnsi="Arial" w:cs="Arial"/>
        </w:rPr>
        <w:t>In some cases, where the total cost returned in the initial toolkit submission was unusually high, LaingBuisson carried out an anonymous mystery shopper call, prior to the validation re-call. The question (paraphrased) was: ‘I want to arrange domiciliary care for my [relative], what’s your hourly rate?’ The reason for this was to test the plausibility of toolkit submissions. If the hourly rate quoted was less than the operating costs submitted in the toolkit, then the provider could be challenged as follows: 'Your service appears to be loss-making (toolkit operating costs are higher than charge-out rates). If you are not loss-making, how might your toolkit submission have overstated your costs?</w:t>
      </w:r>
    </w:p>
    <w:p w14:paraId="400C8C3F" w14:textId="43951331" w:rsidR="00206DB2" w:rsidRDefault="00206DB2" w:rsidP="00610FD0">
      <w:pPr>
        <w:ind w:right="-851"/>
        <w:jc w:val="both"/>
        <w:rPr>
          <w:rFonts w:ascii="Arial" w:hAnsi="Arial" w:cs="Arial"/>
        </w:rPr>
      </w:pPr>
      <w:r w:rsidRPr="00206DB2">
        <w:rPr>
          <w:rFonts w:ascii="Arial" w:hAnsi="Arial" w:cs="Arial"/>
        </w:rPr>
        <w:t>Depending on the answers to the above questions, appropriate adjustments were made with the agreement of providers in order to arrive at corrected total hourly costs at April 2022 prices for each submitted toolkit.</w:t>
      </w:r>
    </w:p>
    <w:p w14:paraId="490E2215" w14:textId="0F20A12C" w:rsidR="006D4E3D" w:rsidRDefault="006D4E3D" w:rsidP="00610FD0">
      <w:pPr>
        <w:ind w:right="-851"/>
        <w:jc w:val="both"/>
        <w:rPr>
          <w:rFonts w:ascii="Arial" w:hAnsi="Arial" w:cs="Arial"/>
        </w:rPr>
      </w:pPr>
    </w:p>
    <w:p w14:paraId="71D3DA11" w14:textId="77777777" w:rsidR="0091122E" w:rsidRPr="00206DB2" w:rsidRDefault="0091122E" w:rsidP="00610FD0">
      <w:pPr>
        <w:ind w:right="-851"/>
        <w:jc w:val="both"/>
        <w:rPr>
          <w:rFonts w:ascii="Arial" w:hAnsi="Arial" w:cs="Arial"/>
        </w:rPr>
      </w:pPr>
    </w:p>
    <w:p w14:paraId="3C6D133F" w14:textId="77777777" w:rsidR="00206DB2" w:rsidRPr="00206DB2" w:rsidRDefault="00206DB2" w:rsidP="00610FD0">
      <w:pPr>
        <w:ind w:right="-851"/>
        <w:jc w:val="both"/>
        <w:rPr>
          <w:rFonts w:ascii="Arial" w:hAnsi="Arial" w:cs="Arial"/>
          <w:b/>
          <w:bCs/>
        </w:rPr>
      </w:pPr>
      <w:r w:rsidRPr="00206DB2">
        <w:rPr>
          <w:rFonts w:ascii="Arial" w:hAnsi="Arial" w:cs="Arial"/>
          <w:b/>
          <w:bCs/>
        </w:rPr>
        <w:lastRenderedPageBreak/>
        <w:t>2.6 Incomplete toolkit submissions</w:t>
      </w:r>
    </w:p>
    <w:p w14:paraId="3F8820DE" w14:textId="77777777" w:rsidR="00206DB2" w:rsidRPr="00206DB2" w:rsidRDefault="00206DB2" w:rsidP="00610FD0">
      <w:pPr>
        <w:ind w:right="-851"/>
        <w:jc w:val="both"/>
        <w:rPr>
          <w:rFonts w:ascii="Arial" w:hAnsi="Arial" w:cs="Arial"/>
        </w:rPr>
      </w:pPr>
      <w:r w:rsidRPr="00206DB2">
        <w:rPr>
          <w:rFonts w:ascii="Arial" w:hAnsi="Arial" w:cs="Arial"/>
        </w:rPr>
        <w:t>2.6.1 Interpolation vs outlier exclusion</w:t>
      </w:r>
    </w:p>
    <w:p w14:paraId="6461BB57" w14:textId="77777777" w:rsidR="00206DB2" w:rsidRPr="00206DB2" w:rsidRDefault="00206DB2" w:rsidP="00610FD0">
      <w:pPr>
        <w:ind w:right="-851"/>
        <w:jc w:val="both"/>
        <w:rPr>
          <w:rFonts w:ascii="Arial" w:hAnsi="Arial" w:cs="Arial"/>
        </w:rPr>
      </w:pPr>
      <w:r w:rsidRPr="00206DB2">
        <w:rPr>
          <w:rFonts w:ascii="Arial" w:hAnsi="Arial" w:cs="Arial"/>
        </w:rPr>
        <w:t>There are two basic approaches to optimising value from survey results where, even after a robust validation process, some cost lines in any given toolkit submission may be zero or empty (null), and some may be outside a reasonable range:</w:t>
      </w:r>
    </w:p>
    <w:p w14:paraId="145CD884" w14:textId="77777777" w:rsidR="00206DB2" w:rsidRPr="00206DB2" w:rsidRDefault="00206DB2" w:rsidP="00610FD0">
      <w:pPr>
        <w:numPr>
          <w:ilvl w:val="0"/>
          <w:numId w:val="26"/>
        </w:numPr>
        <w:ind w:left="426" w:right="-568" w:hanging="426"/>
        <w:contextualSpacing/>
        <w:jc w:val="both"/>
        <w:rPr>
          <w:rFonts w:ascii="Arial" w:hAnsi="Arial" w:cs="Arial"/>
        </w:rPr>
      </w:pPr>
      <w:r w:rsidRPr="00206DB2">
        <w:rPr>
          <w:rFonts w:ascii="Arial" w:hAnsi="Arial" w:cs="Arial"/>
          <w:b/>
          <w:bCs/>
        </w:rPr>
        <w:t>Interpolation</w:t>
      </w:r>
      <w:r w:rsidRPr="00206DB2">
        <w:rPr>
          <w:rFonts w:ascii="Arial" w:hAnsi="Arial" w:cs="Arial"/>
        </w:rPr>
        <w:t xml:space="preserve"> is one approach, in which null, zero or extreme outlier data for any individual cost line in any given toolkit submission is substituted by the median (or mean) value among those toolkits that submitted valid, in range data for that cost line. By this means, otherwise valid toolkits can avoid being discarded due to the absence of minor cost items. In this approach it is reasonable to interpolate values for minor cost lines, though not for major cost lines, such as staffing costs, which are major drivers of total costs; Interpolation maximises the number of valid toolkit responses, from which the median numbers for each individual cost line, as well as the median total cost for all validated toolkits can be calculated.  A downside of the interpolation approach, however, it that the nature of medians (the DHSC’s preferred measure of central tendency) means that the individual cost line medians do not add to the subtotal medians and the subtotal medians do not add to the total cost median.</w:t>
      </w:r>
    </w:p>
    <w:p w14:paraId="48EB069C" w14:textId="77777777" w:rsidR="00206DB2" w:rsidRPr="00206DB2" w:rsidRDefault="00206DB2" w:rsidP="00610FD0">
      <w:pPr>
        <w:ind w:left="426" w:right="-851" w:hanging="426"/>
        <w:contextualSpacing/>
        <w:jc w:val="both"/>
        <w:rPr>
          <w:rFonts w:ascii="Arial" w:hAnsi="Arial" w:cs="Arial"/>
        </w:rPr>
      </w:pPr>
    </w:p>
    <w:p w14:paraId="7B697386" w14:textId="77777777" w:rsidR="00206DB2" w:rsidRPr="00206DB2" w:rsidRDefault="00206DB2" w:rsidP="00610FD0">
      <w:pPr>
        <w:numPr>
          <w:ilvl w:val="0"/>
          <w:numId w:val="26"/>
        </w:numPr>
        <w:ind w:left="426" w:right="-851" w:hanging="426"/>
        <w:contextualSpacing/>
        <w:jc w:val="both"/>
        <w:rPr>
          <w:rFonts w:ascii="Arial" w:hAnsi="Arial" w:cs="Arial"/>
        </w:rPr>
      </w:pPr>
      <w:r w:rsidRPr="00206DB2">
        <w:rPr>
          <w:rFonts w:ascii="Arial" w:hAnsi="Arial" w:cs="Arial"/>
          <w:b/>
          <w:bCs/>
        </w:rPr>
        <w:t>Outlier exclusion</w:t>
      </w:r>
      <w:r w:rsidRPr="00206DB2">
        <w:rPr>
          <w:rFonts w:ascii="Arial" w:hAnsi="Arial" w:cs="Arial"/>
        </w:rPr>
        <w:t xml:space="preserve"> is another approach, in which median values are calculated separately for each cost line, using all submitted toolkits where that particular cost line was validated, and excluding all ‘outliers’ whether they be null or zero values or outside a defined range. The full output required by DHSC can then be built up from individual cost line medians. A bonus from this method is that the median total cost line required by DHSC is equal to the sum of the median subtotals and the median subtotals are equal to the sums of the relevant individual cost lines.</w:t>
      </w:r>
    </w:p>
    <w:p w14:paraId="1B713FE8" w14:textId="77777777" w:rsidR="007E48F2" w:rsidRDefault="007E48F2" w:rsidP="00610FD0">
      <w:pPr>
        <w:ind w:right="-851"/>
        <w:jc w:val="both"/>
        <w:rPr>
          <w:rFonts w:ascii="Arial" w:hAnsi="Arial" w:cs="Arial"/>
        </w:rPr>
      </w:pPr>
    </w:p>
    <w:p w14:paraId="1781C841" w14:textId="320F991A" w:rsidR="00206DB2" w:rsidRPr="00206DB2" w:rsidRDefault="00206DB2" w:rsidP="00610FD0">
      <w:pPr>
        <w:ind w:right="-851"/>
        <w:jc w:val="both"/>
        <w:rPr>
          <w:rFonts w:ascii="Arial" w:hAnsi="Arial" w:cs="Arial"/>
        </w:rPr>
      </w:pPr>
      <w:r w:rsidRPr="00206DB2">
        <w:rPr>
          <w:rFonts w:ascii="Arial" w:hAnsi="Arial" w:cs="Arial"/>
        </w:rPr>
        <w:t xml:space="preserve">LaingBuisson opted to use the </w:t>
      </w:r>
      <w:r w:rsidRPr="00206DB2">
        <w:rPr>
          <w:rFonts w:ascii="Arial" w:hAnsi="Arial" w:cs="Arial"/>
          <w:b/>
          <w:bCs/>
        </w:rPr>
        <w:t>outlier exclusion</w:t>
      </w:r>
      <w:r w:rsidRPr="00206DB2">
        <w:rPr>
          <w:rFonts w:ascii="Arial" w:hAnsi="Arial" w:cs="Arial"/>
        </w:rPr>
        <w:t xml:space="preserve"> approach, and have defined outliers to encompass:</w:t>
      </w:r>
    </w:p>
    <w:p w14:paraId="68EC20BB" w14:textId="77777777" w:rsidR="00206DB2" w:rsidRPr="00206DB2" w:rsidRDefault="00206DB2" w:rsidP="00610FD0">
      <w:pPr>
        <w:numPr>
          <w:ilvl w:val="0"/>
          <w:numId w:val="20"/>
        </w:numPr>
        <w:ind w:left="426" w:right="-851" w:hanging="426"/>
        <w:contextualSpacing/>
        <w:jc w:val="both"/>
        <w:rPr>
          <w:rFonts w:ascii="Arial" w:hAnsi="Arial" w:cs="Arial"/>
        </w:rPr>
      </w:pPr>
      <w:r w:rsidRPr="00206DB2">
        <w:rPr>
          <w:rFonts w:ascii="Arial" w:hAnsi="Arial" w:cs="Arial"/>
        </w:rPr>
        <w:t>Null (empty) or zero values for any cost lines where a null or zero value would be inappropriate</w:t>
      </w:r>
    </w:p>
    <w:p w14:paraId="45B08BD6" w14:textId="3E3E4CF5" w:rsidR="00206DB2" w:rsidRDefault="00206DB2" w:rsidP="00610FD0">
      <w:pPr>
        <w:numPr>
          <w:ilvl w:val="0"/>
          <w:numId w:val="20"/>
        </w:numPr>
        <w:ind w:left="426" w:right="-851" w:hanging="426"/>
        <w:contextualSpacing/>
        <w:jc w:val="both"/>
        <w:rPr>
          <w:rFonts w:ascii="Arial" w:hAnsi="Arial" w:cs="Arial"/>
        </w:rPr>
      </w:pPr>
      <w:r w:rsidRPr="00206DB2">
        <w:rPr>
          <w:rFonts w:ascii="Arial" w:hAnsi="Arial" w:cs="Arial"/>
        </w:rPr>
        <w:t xml:space="preserve">Non-zero values which are outside specified boundaries. </w:t>
      </w:r>
    </w:p>
    <w:p w14:paraId="771B17DC" w14:textId="77777777" w:rsidR="006D4E3D" w:rsidRPr="00206DB2" w:rsidRDefault="006D4E3D" w:rsidP="006D4E3D">
      <w:pPr>
        <w:ind w:left="426" w:right="-851"/>
        <w:contextualSpacing/>
        <w:jc w:val="both"/>
        <w:rPr>
          <w:rFonts w:ascii="Arial" w:hAnsi="Arial" w:cs="Arial"/>
        </w:rPr>
      </w:pPr>
    </w:p>
    <w:p w14:paraId="20F16BC8" w14:textId="77777777" w:rsidR="00206DB2" w:rsidRPr="00206DB2" w:rsidRDefault="00206DB2" w:rsidP="00610FD0">
      <w:pPr>
        <w:ind w:right="-851"/>
        <w:jc w:val="both"/>
        <w:rPr>
          <w:rFonts w:ascii="Arial" w:hAnsi="Arial" w:cs="Arial"/>
        </w:rPr>
      </w:pPr>
      <w:r w:rsidRPr="00206DB2">
        <w:rPr>
          <w:rFonts w:ascii="Arial" w:hAnsi="Arial" w:cs="Arial"/>
        </w:rPr>
        <w:t>With respect to b), having researched various methodologies, LaingBuisson adopted Double Median Absolute Deviation (Double MAD) as the preferred approach to setting outlier boundaries for each individual cost line.</w:t>
      </w:r>
    </w:p>
    <w:p w14:paraId="68C0A5BB" w14:textId="77777777" w:rsidR="00206DB2" w:rsidRPr="00206DB2" w:rsidRDefault="00206DB2" w:rsidP="00610FD0">
      <w:pPr>
        <w:ind w:right="-851"/>
        <w:jc w:val="both"/>
        <w:rPr>
          <w:rFonts w:ascii="Arial" w:hAnsi="Arial" w:cs="Arial"/>
        </w:rPr>
      </w:pPr>
      <w:r w:rsidRPr="00206DB2">
        <w:rPr>
          <w:rFonts w:ascii="Arial" w:hAnsi="Arial" w:cs="Arial"/>
        </w:rPr>
        <w:t>MAD=median(|X_i-X ̅ |)</w:t>
      </w:r>
    </w:p>
    <w:p w14:paraId="41A2DB1D" w14:textId="77777777" w:rsidR="00206DB2" w:rsidRPr="00206DB2" w:rsidRDefault="00206DB2" w:rsidP="00610FD0">
      <w:pPr>
        <w:ind w:right="-851"/>
        <w:jc w:val="both"/>
        <w:rPr>
          <w:rFonts w:ascii="Arial" w:hAnsi="Arial" w:cs="Arial"/>
        </w:rPr>
      </w:pPr>
      <w:r w:rsidRPr="00206DB2">
        <w:rPr>
          <w:rFonts w:ascii="Arial" w:hAnsi="Arial" w:cs="Arial"/>
        </w:rPr>
        <w:t xml:space="preserve">Median Absolute Deviation (MAD) is calculated by finding the absolute difference between each validated data point and the validated sample median and then calculating the median of these absolute differences. </w:t>
      </w:r>
    </w:p>
    <w:p w14:paraId="1FBCBBC2" w14:textId="77777777" w:rsidR="00206DB2" w:rsidRPr="00206DB2" w:rsidRDefault="00206DB2" w:rsidP="00610FD0">
      <w:pPr>
        <w:ind w:right="-851"/>
        <w:jc w:val="both"/>
        <w:rPr>
          <w:rFonts w:ascii="Arial" w:hAnsi="Arial" w:cs="Arial"/>
        </w:rPr>
      </w:pPr>
      <w:r w:rsidRPr="00206DB2">
        <w:rPr>
          <w:rFonts w:ascii="Arial" w:hAnsi="Arial" w:cs="Arial"/>
        </w:rPr>
        <w:t xml:space="preserve">For normally distributed data, MAD is multiplied by a constant b = 1.4826, however, the distribution is unknown and not symmetric in our data sample. </w:t>
      </w:r>
    </w:p>
    <w:p w14:paraId="267BBB40" w14:textId="77777777" w:rsidR="00206DB2" w:rsidRPr="00206DB2" w:rsidRDefault="00206DB2" w:rsidP="00206DB2">
      <w:pPr>
        <w:ind w:right="-851"/>
        <w:rPr>
          <w:rFonts w:ascii="Arial" w:hAnsi="Arial" w:cs="Arial"/>
        </w:rPr>
      </w:pPr>
      <w:r w:rsidRPr="00206DB2">
        <w:rPr>
          <w:rFonts w:ascii="Arial" w:hAnsi="Arial" w:cs="Arial"/>
        </w:rPr>
        <w:t>Furthermore, statistically testing for skewness in the sample confirms that the data suffers from a highly asymmetric distribution across all categories. Using a singular Median Absolute Deviation value, disregarding the asymmetry in the distribution, would produce unreliable results. For this reason, LaingBuisson opted for an enhanced method called “Double MAD.”</w:t>
      </w:r>
    </w:p>
    <w:p w14:paraId="73CB3B72" w14:textId="77777777" w:rsidR="00206DB2" w:rsidRPr="00206DB2" w:rsidRDefault="00206DB2" w:rsidP="00610FD0">
      <w:pPr>
        <w:ind w:right="-851"/>
        <w:jc w:val="both"/>
        <w:rPr>
          <w:rFonts w:ascii="Arial" w:hAnsi="Arial" w:cs="Arial"/>
        </w:rPr>
      </w:pPr>
      <w:r w:rsidRPr="00206DB2">
        <w:rPr>
          <w:rFonts w:ascii="Arial" w:hAnsi="Arial" w:cs="Arial"/>
        </w:rPr>
        <w:lastRenderedPageBreak/>
        <w:t>The premises underlying this method are similar to the classic version, with the only difference being the calculation of two Median Absolute Deviations: 1) the median absolute deviation from the median of all points less than or equal to the median and (2) the median absolute deviation from the median of all points greater than or equal to the median. This allows one to set pertinent outlier thresholds taking into account skewness in the data sample. Finally, for each cost line, LaingBuisson have defined as an outlier any data point which is more than 2 X MAD above or below the median. All such outliers have been excluded from the calculation of median costs in Table 3.</w:t>
      </w:r>
    </w:p>
    <w:p w14:paraId="56B48344" w14:textId="77777777" w:rsidR="00206DB2" w:rsidRPr="00206DB2" w:rsidRDefault="00206DB2" w:rsidP="00610FD0">
      <w:pPr>
        <w:ind w:right="-851"/>
        <w:jc w:val="both"/>
        <w:rPr>
          <w:rFonts w:ascii="Arial" w:hAnsi="Arial" w:cs="Arial"/>
        </w:rPr>
      </w:pPr>
      <w:r w:rsidRPr="00206DB2">
        <w:rPr>
          <w:rFonts w:ascii="Arial" w:hAnsi="Arial" w:cs="Arial"/>
        </w:rPr>
        <w:t>LaingBuisson have made one exception to the general outlier exclusion rule described above. It relates to the treatment of outliers in the Total Business Costs line. As noted in Section 2.5, these back-office costs were highly variable. Some of them accounted for large proportion of total costs. Anomalies which LaingBuisson came across included staff doubling up as care workers and as back-office staff members, leading to possible double counting, and back-office staff being used to support other business lines, leading to possible overstatement of costs. They also noted that toolkit submissions for back-office costs stood out as being substantially higher than the benchmark cost for ‘Running the businesses within the Homecare Association’s pro forma minimum cost structure presented in Table 4. On the balance of evidence, it appears that many of the toolkit submissions overstated Total Business Costs. Consequently, for this cost category, the outlier exclusion method had been customised to “Median – 3 X MAD” for the lower boundary and “Median + 1 X MAD” for the upper boundary. This has the effect of restricting the acceptable range of values above the median. Simultaneously, we consider it necessary to accept values which gravitate around the Homecare Association benchmark of £3.02 per hour for back-office staff, which would have been rejected if the threshold stayed “Median – 2 X MAD”.</w:t>
      </w:r>
    </w:p>
    <w:p w14:paraId="661CB579" w14:textId="77777777" w:rsidR="00206DB2" w:rsidRPr="00206DB2" w:rsidRDefault="00206DB2" w:rsidP="00610FD0">
      <w:pPr>
        <w:ind w:right="-851"/>
        <w:jc w:val="both"/>
        <w:rPr>
          <w:rFonts w:ascii="Arial" w:hAnsi="Arial" w:cs="Arial"/>
        </w:rPr>
      </w:pPr>
      <w:r w:rsidRPr="00206DB2">
        <w:rPr>
          <w:rFonts w:ascii="Arial" w:hAnsi="Arial" w:cs="Arial"/>
        </w:rPr>
        <w:t>2.7 Response rates</w:t>
      </w:r>
    </w:p>
    <w:p w14:paraId="766AC0C4" w14:textId="77777777" w:rsidR="00206DB2" w:rsidRPr="00206DB2" w:rsidRDefault="00206DB2" w:rsidP="00610FD0">
      <w:pPr>
        <w:ind w:right="-851"/>
        <w:jc w:val="both"/>
        <w:rPr>
          <w:rFonts w:ascii="Arial" w:hAnsi="Arial" w:cs="Arial"/>
        </w:rPr>
      </w:pPr>
      <w:r w:rsidRPr="00206DB2">
        <w:rPr>
          <w:rFonts w:ascii="Arial" w:hAnsi="Arial" w:cs="Arial"/>
        </w:rPr>
        <w:t>The overall validated response rate stands at 22% of all domiciliary care providers in scope. Table 2 segments response rates according to key service characteristics which may (or may not) have a bearing on costs. There were no large corporate group services among the respondents, but there is only one homecare service in Oxfordshire which is operated by such a group, Allied Healthcare.</w:t>
      </w:r>
    </w:p>
    <w:p w14:paraId="787208ED" w14:textId="77777777" w:rsidR="00206DB2" w:rsidRPr="00206DB2" w:rsidRDefault="00206DB2" w:rsidP="00206DB2">
      <w:pPr>
        <w:keepNext/>
        <w:suppressAutoHyphens/>
        <w:spacing w:after="0" w:line="260" w:lineRule="exact"/>
        <w:ind w:right="-851"/>
        <w:jc w:val="both"/>
        <w:rPr>
          <w:rFonts w:ascii="Arial" w:eastAsia="Times New Roman" w:hAnsi="Arial" w:cs="Arial"/>
          <w:b/>
          <w:lang w:eastAsia="en-GB"/>
        </w:rPr>
      </w:pPr>
    </w:p>
    <w:p w14:paraId="49CD5153" w14:textId="656F505A" w:rsidR="00206DB2" w:rsidRPr="00020C5C" w:rsidRDefault="00206DB2" w:rsidP="00206DB2">
      <w:pPr>
        <w:keepNext/>
        <w:suppressAutoHyphens/>
        <w:spacing w:after="0" w:line="260" w:lineRule="exact"/>
        <w:ind w:right="-851"/>
        <w:jc w:val="both"/>
        <w:rPr>
          <w:rFonts w:ascii="Arial" w:eastAsia="Times New Roman" w:hAnsi="Arial" w:cs="Arial"/>
          <w:bCs/>
          <w:sz w:val="20"/>
          <w:szCs w:val="18"/>
          <w:lang w:eastAsia="en-GB"/>
        </w:rPr>
      </w:pPr>
      <w:r w:rsidRPr="00020C5C">
        <w:rPr>
          <w:rFonts w:ascii="Arial" w:eastAsia="Times New Roman" w:hAnsi="Arial" w:cs="Arial"/>
          <w:bCs/>
          <w:sz w:val="20"/>
          <w:szCs w:val="18"/>
          <w:lang w:eastAsia="en-GB"/>
        </w:rPr>
        <w:t xml:space="preserve">Table 2 - </w:t>
      </w:r>
      <w:bookmarkStart w:id="46" w:name="_Hlk113288172"/>
      <w:r w:rsidRPr="00020C5C">
        <w:rPr>
          <w:rFonts w:ascii="Arial" w:eastAsia="Times New Roman" w:hAnsi="Arial" w:cs="Arial"/>
          <w:bCs/>
          <w:sz w:val="20"/>
          <w:szCs w:val="18"/>
          <w:lang w:eastAsia="en-GB"/>
        </w:rPr>
        <w:t>Validated responses and response rates as a percentage of services in scope, by key service characteristics</w:t>
      </w:r>
    </w:p>
    <w:p w14:paraId="7A6A693A" w14:textId="77777777" w:rsidR="006D4E3D" w:rsidRPr="00206DB2" w:rsidRDefault="006D4E3D" w:rsidP="00206DB2">
      <w:pPr>
        <w:keepNext/>
        <w:suppressAutoHyphens/>
        <w:spacing w:after="0" w:line="260" w:lineRule="exact"/>
        <w:ind w:right="-851"/>
        <w:jc w:val="both"/>
        <w:rPr>
          <w:rFonts w:ascii="Arial" w:eastAsia="Times New Roman" w:hAnsi="Arial" w:cs="Arial"/>
          <w:b/>
          <w:sz w:val="20"/>
          <w:szCs w:val="18"/>
          <w:lang w:eastAsia="en-GB"/>
        </w:rPr>
      </w:pPr>
    </w:p>
    <w:tbl>
      <w:tblPr>
        <w:tblStyle w:val="TableGrid"/>
        <w:tblW w:w="10060" w:type="dxa"/>
        <w:tblLook w:val="04A0" w:firstRow="1" w:lastRow="0" w:firstColumn="1" w:lastColumn="0" w:noHBand="0" w:noVBand="1"/>
      </w:tblPr>
      <w:tblGrid>
        <w:gridCol w:w="5665"/>
        <w:gridCol w:w="1560"/>
        <w:gridCol w:w="2835"/>
      </w:tblGrid>
      <w:tr w:rsidR="00206DB2" w:rsidRPr="00206DB2" w14:paraId="6C3A8556" w14:textId="77777777" w:rsidTr="00C5346A">
        <w:trPr>
          <w:trHeight w:val="154"/>
        </w:trPr>
        <w:tc>
          <w:tcPr>
            <w:tcW w:w="5665" w:type="dxa"/>
            <w:noWrap/>
          </w:tcPr>
          <w:p w14:paraId="64B5C646" w14:textId="77777777" w:rsidR="00206DB2" w:rsidRPr="00206DB2" w:rsidRDefault="00206DB2" w:rsidP="00206DB2">
            <w:pPr>
              <w:ind w:right="-851"/>
              <w:rPr>
                <w:rFonts w:ascii="Arial" w:hAnsi="Arial" w:cs="Arial"/>
                <w:color w:val="auto"/>
                <w:lang w:eastAsia="en-GB"/>
              </w:rPr>
            </w:pPr>
          </w:p>
        </w:tc>
        <w:tc>
          <w:tcPr>
            <w:tcW w:w="1560" w:type="dxa"/>
            <w:noWrap/>
          </w:tcPr>
          <w:p w14:paraId="2C846590" w14:textId="77777777" w:rsidR="00206DB2" w:rsidRPr="00206DB2" w:rsidRDefault="00206DB2" w:rsidP="00C5346A">
            <w:pPr>
              <w:spacing w:line="240" w:lineRule="auto"/>
              <w:ind w:right="-851"/>
              <w:rPr>
                <w:rFonts w:ascii="Arial" w:hAnsi="Arial" w:cs="Arial"/>
                <w:color w:val="auto"/>
                <w:lang w:eastAsia="en-GB"/>
              </w:rPr>
            </w:pPr>
            <w:r w:rsidRPr="00206DB2">
              <w:rPr>
                <w:rFonts w:ascii="Arial" w:hAnsi="Arial" w:cs="Arial"/>
                <w:color w:val="auto"/>
                <w:lang w:eastAsia="en-GB"/>
              </w:rPr>
              <w:t>Responses</w:t>
            </w:r>
          </w:p>
        </w:tc>
        <w:tc>
          <w:tcPr>
            <w:tcW w:w="2835" w:type="dxa"/>
            <w:noWrap/>
          </w:tcPr>
          <w:p w14:paraId="24A30996" w14:textId="77777777" w:rsidR="00C5346A" w:rsidRDefault="00206DB2" w:rsidP="00C5346A">
            <w:pPr>
              <w:spacing w:after="0" w:line="240" w:lineRule="auto"/>
              <w:ind w:right="-851"/>
              <w:rPr>
                <w:rFonts w:ascii="Arial" w:hAnsi="Arial" w:cs="Arial"/>
                <w:color w:val="auto"/>
                <w:lang w:eastAsia="en-GB"/>
              </w:rPr>
            </w:pPr>
            <w:r w:rsidRPr="00206DB2">
              <w:rPr>
                <w:rFonts w:ascii="Arial" w:hAnsi="Arial" w:cs="Arial"/>
                <w:color w:val="auto"/>
                <w:lang w:eastAsia="en-GB"/>
              </w:rPr>
              <w:t xml:space="preserve">Responses as % of </w:t>
            </w:r>
          </w:p>
          <w:p w14:paraId="478E2900" w14:textId="77777777" w:rsidR="00C5346A" w:rsidRDefault="00206DB2" w:rsidP="00C5346A">
            <w:pPr>
              <w:spacing w:after="0" w:line="240" w:lineRule="auto"/>
              <w:ind w:right="-851"/>
              <w:rPr>
                <w:rFonts w:ascii="Arial" w:hAnsi="Arial" w:cs="Arial"/>
                <w:color w:val="auto"/>
                <w:lang w:eastAsia="en-GB"/>
              </w:rPr>
            </w:pPr>
            <w:r w:rsidRPr="00206DB2">
              <w:rPr>
                <w:rFonts w:ascii="Arial" w:hAnsi="Arial" w:cs="Arial"/>
                <w:color w:val="auto"/>
                <w:lang w:eastAsia="en-GB"/>
              </w:rPr>
              <w:t xml:space="preserve">services in scope with </w:t>
            </w:r>
          </w:p>
          <w:p w14:paraId="20DA27ED" w14:textId="5793436A" w:rsidR="00206DB2" w:rsidRPr="00206DB2" w:rsidRDefault="00206DB2" w:rsidP="00C5346A">
            <w:pPr>
              <w:spacing w:after="0" w:line="240" w:lineRule="auto"/>
              <w:ind w:right="-851"/>
              <w:rPr>
                <w:rFonts w:ascii="Arial" w:hAnsi="Arial" w:cs="Arial"/>
                <w:color w:val="auto"/>
                <w:lang w:eastAsia="en-GB"/>
              </w:rPr>
            </w:pPr>
            <w:r w:rsidRPr="00206DB2">
              <w:rPr>
                <w:rFonts w:ascii="Arial" w:hAnsi="Arial" w:cs="Arial"/>
                <w:color w:val="auto"/>
                <w:lang w:eastAsia="en-GB"/>
              </w:rPr>
              <w:t>the relevant characteristic</w:t>
            </w:r>
          </w:p>
        </w:tc>
      </w:tr>
      <w:tr w:rsidR="00206DB2" w:rsidRPr="00206DB2" w14:paraId="3D9B1CB5" w14:textId="77777777" w:rsidTr="00C5346A">
        <w:trPr>
          <w:trHeight w:val="154"/>
        </w:trPr>
        <w:tc>
          <w:tcPr>
            <w:tcW w:w="5665" w:type="dxa"/>
            <w:noWrap/>
          </w:tcPr>
          <w:p w14:paraId="1C1A3712" w14:textId="77777777" w:rsidR="00206DB2" w:rsidRPr="00206DB2" w:rsidRDefault="00206DB2" w:rsidP="00206DB2">
            <w:pPr>
              <w:ind w:right="-851"/>
              <w:rPr>
                <w:rFonts w:ascii="Arial" w:hAnsi="Arial" w:cs="Arial"/>
                <w:color w:val="auto"/>
                <w:lang w:eastAsia="en-GB"/>
              </w:rPr>
            </w:pPr>
          </w:p>
        </w:tc>
        <w:tc>
          <w:tcPr>
            <w:tcW w:w="1560" w:type="dxa"/>
            <w:noWrap/>
          </w:tcPr>
          <w:p w14:paraId="34BF66B6" w14:textId="77777777" w:rsidR="00206DB2" w:rsidRPr="00206DB2" w:rsidRDefault="00206DB2" w:rsidP="00C5346A">
            <w:pPr>
              <w:ind w:right="-851"/>
              <w:jc w:val="center"/>
              <w:rPr>
                <w:rFonts w:ascii="Arial" w:hAnsi="Arial" w:cs="Arial"/>
                <w:color w:val="auto"/>
                <w:lang w:eastAsia="en-GB"/>
              </w:rPr>
            </w:pPr>
          </w:p>
        </w:tc>
        <w:tc>
          <w:tcPr>
            <w:tcW w:w="2835" w:type="dxa"/>
            <w:noWrap/>
          </w:tcPr>
          <w:p w14:paraId="2DD41E4C" w14:textId="77777777" w:rsidR="00206DB2" w:rsidRPr="00206DB2" w:rsidRDefault="00206DB2" w:rsidP="00C5346A">
            <w:pPr>
              <w:ind w:right="-390" w:hanging="78"/>
              <w:jc w:val="center"/>
              <w:rPr>
                <w:rFonts w:ascii="Arial" w:hAnsi="Arial" w:cs="Arial"/>
                <w:color w:val="auto"/>
                <w:lang w:eastAsia="en-GB"/>
              </w:rPr>
            </w:pPr>
          </w:p>
        </w:tc>
      </w:tr>
      <w:bookmarkEnd w:id="46"/>
      <w:tr w:rsidR="00206DB2" w:rsidRPr="00206DB2" w14:paraId="7293E460" w14:textId="77777777" w:rsidTr="00C5346A">
        <w:trPr>
          <w:trHeight w:val="154"/>
        </w:trPr>
        <w:tc>
          <w:tcPr>
            <w:tcW w:w="5665" w:type="dxa"/>
            <w:noWrap/>
          </w:tcPr>
          <w:p w14:paraId="02A91018"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lang w:eastAsia="en-GB"/>
              </w:rPr>
              <w:t>Key characteristics</w:t>
            </w:r>
          </w:p>
        </w:tc>
        <w:tc>
          <w:tcPr>
            <w:tcW w:w="1560" w:type="dxa"/>
            <w:noWrap/>
          </w:tcPr>
          <w:p w14:paraId="2ADB0F02"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lang w:eastAsia="en-GB"/>
              </w:rPr>
              <w:t>No.</w:t>
            </w:r>
          </w:p>
        </w:tc>
        <w:tc>
          <w:tcPr>
            <w:tcW w:w="2835" w:type="dxa"/>
            <w:noWrap/>
          </w:tcPr>
          <w:p w14:paraId="30DB929A"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lang w:eastAsia="en-GB"/>
              </w:rPr>
              <w:t>%</w:t>
            </w:r>
          </w:p>
        </w:tc>
      </w:tr>
      <w:tr w:rsidR="00206DB2" w:rsidRPr="00206DB2" w14:paraId="22FFFE1E" w14:textId="77777777" w:rsidTr="00C5346A">
        <w:trPr>
          <w:trHeight w:val="154"/>
        </w:trPr>
        <w:tc>
          <w:tcPr>
            <w:tcW w:w="5665" w:type="dxa"/>
            <w:noWrap/>
            <w:hideMark/>
          </w:tcPr>
          <w:p w14:paraId="2EAD2D30"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Total</w:t>
            </w:r>
          </w:p>
        </w:tc>
        <w:tc>
          <w:tcPr>
            <w:tcW w:w="1560" w:type="dxa"/>
            <w:noWrap/>
          </w:tcPr>
          <w:p w14:paraId="44AB5D15"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21</w:t>
            </w:r>
          </w:p>
        </w:tc>
        <w:tc>
          <w:tcPr>
            <w:tcW w:w="2835" w:type="dxa"/>
            <w:noWrap/>
          </w:tcPr>
          <w:p w14:paraId="7D1ED5E0"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22%</w:t>
            </w:r>
          </w:p>
        </w:tc>
      </w:tr>
      <w:tr w:rsidR="00206DB2" w:rsidRPr="00206DB2" w14:paraId="2A70C4A1" w14:textId="77777777" w:rsidTr="00C5346A">
        <w:trPr>
          <w:trHeight w:val="154"/>
        </w:trPr>
        <w:tc>
          <w:tcPr>
            <w:tcW w:w="5665" w:type="dxa"/>
            <w:noWrap/>
            <w:hideMark/>
          </w:tcPr>
          <w:p w14:paraId="51C49598"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Strategic providers</w:t>
            </w:r>
          </w:p>
        </w:tc>
        <w:tc>
          <w:tcPr>
            <w:tcW w:w="1560" w:type="dxa"/>
            <w:noWrap/>
          </w:tcPr>
          <w:p w14:paraId="7DABDA1B"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3</w:t>
            </w:r>
          </w:p>
        </w:tc>
        <w:tc>
          <w:tcPr>
            <w:tcW w:w="2835" w:type="dxa"/>
            <w:noWrap/>
          </w:tcPr>
          <w:p w14:paraId="44DB419C"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20%</w:t>
            </w:r>
          </w:p>
        </w:tc>
      </w:tr>
      <w:tr w:rsidR="00206DB2" w:rsidRPr="00206DB2" w14:paraId="20B5F4AA" w14:textId="77777777" w:rsidTr="00C5346A">
        <w:trPr>
          <w:trHeight w:val="154"/>
        </w:trPr>
        <w:tc>
          <w:tcPr>
            <w:tcW w:w="5665" w:type="dxa"/>
            <w:noWrap/>
            <w:hideMark/>
          </w:tcPr>
          <w:p w14:paraId="43342EDA"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For-profit</w:t>
            </w:r>
          </w:p>
        </w:tc>
        <w:tc>
          <w:tcPr>
            <w:tcW w:w="1560" w:type="dxa"/>
            <w:noWrap/>
          </w:tcPr>
          <w:p w14:paraId="43F63D48"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18</w:t>
            </w:r>
          </w:p>
        </w:tc>
        <w:tc>
          <w:tcPr>
            <w:tcW w:w="2835" w:type="dxa"/>
            <w:noWrap/>
          </w:tcPr>
          <w:p w14:paraId="5899D60F"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20%</w:t>
            </w:r>
          </w:p>
        </w:tc>
      </w:tr>
      <w:tr w:rsidR="00206DB2" w:rsidRPr="00206DB2" w14:paraId="22F480A2" w14:textId="77777777" w:rsidTr="00C5346A">
        <w:trPr>
          <w:trHeight w:val="154"/>
        </w:trPr>
        <w:tc>
          <w:tcPr>
            <w:tcW w:w="5665" w:type="dxa"/>
            <w:noWrap/>
            <w:hideMark/>
          </w:tcPr>
          <w:p w14:paraId="7F77D0DB" w14:textId="77777777" w:rsidR="00206DB2" w:rsidRPr="00206DB2" w:rsidRDefault="00206DB2" w:rsidP="00206DB2">
            <w:pPr>
              <w:ind w:right="-851"/>
              <w:rPr>
                <w:rFonts w:ascii="Arial" w:hAnsi="Arial" w:cs="Arial"/>
                <w:color w:val="auto"/>
                <w:vertAlign w:val="superscript"/>
              </w:rPr>
            </w:pPr>
            <w:r w:rsidRPr="00206DB2">
              <w:rPr>
                <w:rFonts w:ascii="Arial" w:hAnsi="Arial" w:cs="Arial"/>
                <w:color w:val="auto"/>
              </w:rPr>
              <w:t>Not-for-profit</w:t>
            </w:r>
          </w:p>
        </w:tc>
        <w:tc>
          <w:tcPr>
            <w:tcW w:w="1560" w:type="dxa"/>
            <w:noWrap/>
          </w:tcPr>
          <w:p w14:paraId="32945D1E"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w:t>
            </w:r>
          </w:p>
        </w:tc>
        <w:tc>
          <w:tcPr>
            <w:tcW w:w="2835" w:type="dxa"/>
            <w:noWrap/>
          </w:tcPr>
          <w:p w14:paraId="00C50F9C"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20%</w:t>
            </w:r>
          </w:p>
        </w:tc>
      </w:tr>
      <w:tr w:rsidR="00206DB2" w:rsidRPr="00206DB2" w14:paraId="72A63BDF" w14:textId="77777777" w:rsidTr="00C5346A">
        <w:trPr>
          <w:trHeight w:val="154"/>
        </w:trPr>
        <w:tc>
          <w:tcPr>
            <w:tcW w:w="5665" w:type="dxa"/>
            <w:noWrap/>
            <w:hideMark/>
          </w:tcPr>
          <w:p w14:paraId="18F779BB"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Large corporate group</w:t>
            </w:r>
          </w:p>
        </w:tc>
        <w:tc>
          <w:tcPr>
            <w:tcW w:w="1560" w:type="dxa"/>
            <w:noWrap/>
          </w:tcPr>
          <w:p w14:paraId="6905C6B9"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0</w:t>
            </w:r>
          </w:p>
        </w:tc>
        <w:tc>
          <w:tcPr>
            <w:tcW w:w="2835" w:type="dxa"/>
            <w:noWrap/>
          </w:tcPr>
          <w:p w14:paraId="1DA589DA"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0%</w:t>
            </w:r>
          </w:p>
        </w:tc>
      </w:tr>
      <w:tr w:rsidR="00206DB2" w:rsidRPr="00206DB2" w14:paraId="490AA811" w14:textId="77777777" w:rsidTr="00C5346A">
        <w:trPr>
          <w:trHeight w:val="205"/>
        </w:trPr>
        <w:tc>
          <w:tcPr>
            <w:tcW w:w="5665" w:type="dxa"/>
            <w:noWrap/>
            <w:hideMark/>
          </w:tcPr>
          <w:p w14:paraId="6E53C562" w14:textId="2EE0BDCA" w:rsidR="00206DB2" w:rsidRPr="00206DB2" w:rsidRDefault="00206DB2" w:rsidP="00206DB2">
            <w:pPr>
              <w:ind w:right="-851"/>
              <w:rPr>
                <w:rFonts w:ascii="Arial" w:hAnsi="Arial" w:cs="Arial"/>
                <w:color w:val="auto"/>
                <w:lang w:eastAsia="en-GB"/>
              </w:rPr>
            </w:pPr>
            <w:r w:rsidRPr="00206DB2">
              <w:rPr>
                <w:rFonts w:ascii="Arial" w:hAnsi="Arial" w:cs="Arial"/>
                <w:color w:val="auto"/>
              </w:rPr>
              <w:lastRenderedPageBreak/>
              <w:t>Medium group</w:t>
            </w:r>
          </w:p>
        </w:tc>
        <w:tc>
          <w:tcPr>
            <w:tcW w:w="1560" w:type="dxa"/>
            <w:noWrap/>
          </w:tcPr>
          <w:p w14:paraId="1EC825AF"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6</w:t>
            </w:r>
          </w:p>
        </w:tc>
        <w:tc>
          <w:tcPr>
            <w:tcW w:w="2835" w:type="dxa"/>
            <w:noWrap/>
          </w:tcPr>
          <w:p w14:paraId="7F5A5F65"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67%</w:t>
            </w:r>
          </w:p>
        </w:tc>
      </w:tr>
      <w:tr w:rsidR="00206DB2" w:rsidRPr="00206DB2" w14:paraId="721D475A" w14:textId="77777777" w:rsidTr="00C5346A">
        <w:trPr>
          <w:trHeight w:val="154"/>
        </w:trPr>
        <w:tc>
          <w:tcPr>
            <w:tcW w:w="5665" w:type="dxa"/>
            <w:noWrap/>
            <w:hideMark/>
          </w:tcPr>
          <w:p w14:paraId="38DE701D"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Small group or independent</w:t>
            </w:r>
          </w:p>
        </w:tc>
        <w:tc>
          <w:tcPr>
            <w:tcW w:w="1560" w:type="dxa"/>
            <w:noWrap/>
          </w:tcPr>
          <w:p w14:paraId="487FDD81"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10</w:t>
            </w:r>
          </w:p>
        </w:tc>
        <w:tc>
          <w:tcPr>
            <w:tcW w:w="2835" w:type="dxa"/>
            <w:noWrap/>
          </w:tcPr>
          <w:p w14:paraId="6C6176F3"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36%</w:t>
            </w:r>
          </w:p>
        </w:tc>
      </w:tr>
      <w:tr w:rsidR="00206DB2" w:rsidRPr="00206DB2" w14:paraId="721FC378" w14:textId="77777777" w:rsidTr="00C5346A">
        <w:trPr>
          <w:trHeight w:val="235"/>
        </w:trPr>
        <w:tc>
          <w:tcPr>
            <w:tcW w:w="5665" w:type="dxa"/>
            <w:noWrap/>
            <w:hideMark/>
          </w:tcPr>
          <w:p w14:paraId="68474A4B"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Large service scale (100,000+ hours annually)</w:t>
            </w:r>
          </w:p>
        </w:tc>
        <w:tc>
          <w:tcPr>
            <w:tcW w:w="1560" w:type="dxa"/>
            <w:noWrap/>
          </w:tcPr>
          <w:p w14:paraId="11FA102B"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w:t>
            </w:r>
          </w:p>
        </w:tc>
        <w:tc>
          <w:tcPr>
            <w:tcW w:w="2835" w:type="dxa"/>
            <w:noWrap/>
          </w:tcPr>
          <w:p w14:paraId="414AEAD5"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0D036AF8" w14:textId="77777777" w:rsidTr="00C5346A">
        <w:trPr>
          <w:trHeight w:val="154"/>
        </w:trPr>
        <w:tc>
          <w:tcPr>
            <w:tcW w:w="5665" w:type="dxa"/>
            <w:noWrap/>
            <w:hideMark/>
          </w:tcPr>
          <w:p w14:paraId="479AC77B"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Medium service scale (15,000 – 99,000 hours annually)</w:t>
            </w:r>
          </w:p>
        </w:tc>
        <w:tc>
          <w:tcPr>
            <w:tcW w:w="1560" w:type="dxa"/>
            <w:noWrap/>
          </w:tcPr>
          <w:p w14:paraId="17E3A150"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19</w:t>
            </w:r>
          </w:p>
        </w:tc>
        <w:tc>
          <w:tcPr>
            <w:tcW w:w="2835" w:type="dxa"/>
            <w:noWrap/>
          </w:tcPr>
          <w:p w14:paraId="12B0358F"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4C716CC0" w14:textId="77777777" w:rsidTr="00C5346A">
        <w:trPr>
          <w:trHeight w:val="154"/>
        </w:trPr>
        <w:tc>
          <w:tcPr>
            <w:tcW w:w="5665" w:type="dxa"/>
            <w:noWrap/>
            <w:hideMark/>
          </w:tcPr>
          <w:p w14:paraId="572B7286"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Small service scale (&lt;15,000 hours annually)</w:t>
            </w:r>
          </w:p>
        </w:tc>
        <w:tc>
          <w:tcPr>
            <w:tcW w:w="1560" w:type="dxa"/>
            <w:noWrap/>
          </w:tcPr>
          <w:p w14:paraId="38D574FE"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w:t>
            </w:r>
          </w:p>
        </w:tc>
        <w:tc>
          <w:tcPr>
            <w:tcW w:w="2835" w:type="dxa"/>
            <w:noWrap/>
          </w:tcPr>
          <w:p w14:paraId="6FF606D8"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3FC74835" w14:textId="77777777" w:rsidTr="00C5346A">
        <w:trPr>
          <w:trHeight w:val="154"/>
        </w:trPr>
        <w:tc>
          <w:tcPr>
            <w:tcW w:w="5665" w:type="dxa"/>
            <w:noWrap/>
            <w:hideMark/>
          </w:tcPr>
          <w:p w14:paraId="3665EB53"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Mainly private pay (60%+)</w:t>
            </w:r>
          </w:p>
        </w:tc>
        <w:tc>
          <w:tcPr>
            <w:tcW w:w="1560" w:type="dxa"/>
            <w:noWrap/>
          </w:tcPr>
          <w:p w14:paraId="7F01A65E"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5</w:t>
            </w:r>
          </w:p>
        </w:tc>
        <w:tc>
          <w:tcPr>
            <w:tcW w:w="2835" w:type="dxa"/>
            <w:noWrap/>
          </w:tcPr>
          <w:p w14:paraId="7D584E78"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5657CB4A" w14:textId="77777777" w:rsidTr="00C5346A">
        <w:trPr>
          <w:trHeight w:val="154"/>
        </w:trPr>
        <w:tc>
          <w:tcPr>
            <w:tcW w:w="5665" w:type="dxa"/>
            <w:noWrap/>
            <w:hideMark/>
          </w:tcPr>
          <w:p w14:paraId="5B29E169"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Mainly public pay (60%+)</w:t>
            </w:r>
          </w:p>
        </w:tc>
        <w:tc>
          <w:tcPr>
            <w:tcW w:w="1560" w:type="dxa"/>
            <w:noWrap/>
          </w:tcPr>
          <w:p w14:paraId="70B94FE9"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11</w:t>
            </w:r>
          </w:p>
        </w:tc>
        <w:tc>
          <w:tcPr>
            <w:tcW w:w="2835" w:type="dxa"/>
            <w:noWrap/>
          </w:tcPr>
          <w:p w14:paraId="103B8486"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7E92FF64" w14:textId="77777777" w:rsidTr="00C5346A">
        <w:trPr>
          <w:trHeight w:val="154"/>
        </w:trPr>
        <w:tc>
          <w:tcPr>
            <w:tcW w:w="5665" w:type="dxa"/>
            <w:noWrap/>
            <w:hideMark/>
          </w:tcPr>
          <w:p w14:paraId="011EC215"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Other (mixed funding)</w:t>
            </w:r>
          </w:p>
        </w:tc>
        <w:tc>
          <w:tcPr>
            <w:tcW w:w="1560" w:type="dxa"/>
            <w:noWrap/>
          </w:tcPr>
          <w:p w14:paraId="14085E32"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4</w:t>
            </w:r>
          </w:p>
        </w:tc>
        <w:tc>
          <w:tcPr>
            <w:tcW w:w="2835" w:type="dxa"/>
            <w:noWrap/>
          </w:tcPr>
          <w:p w14:paraId="20127158"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N/A</w:t>
            </w:r>
          </w:p>
        </w:tc>
      </w:tr>
      <w:tr w:rsidR="00206DB2" w:rsidRPr="00206DB2" w14:paraId="6DC384D3" w14:textId="77777777" w:rsidTr="00C5346A">
        <w:trPr>
          <w:trHeight w:val="154"/>
        </w:trPr>
        <w:tc>
          <w:tcPr>
            <w:tcW w:w="5665" w:type="dxa"/>
            <w:noWrap/>
            <w:hideMark/>
          </w:tcPr>
          <w:p w14:paraId="685C8D49"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Good or Outstanding</w:t>
            </w:r>
          </w:p>
        </w:tc>
        <w:tc>
          <w:tcPr>
            <w:tcW w:w="1560" w:type="dxa"/>
            <w:noWrap/>
          </w:tcPr>
          <w:p w14:paraId="41A5059B"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13</w:t>
            </w:r>
          </w:p>
        </w:tc>
        <w:tc>
          <w:tcPr>
            <w:tcW w:w="2835" w:type="dxa"/>
            <w:noWrap/>
          </w:tcPr>
          <w:p w14:paraId="72D4EE36"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20%</w:t>
            </w:r>
          </w:p>
        </w:tc>
      </w:tr>
      <w:tr w:rsidR="00206DB2" w:rsidRPr="00206DB2" w14:paraId="14786676" w14:textId="77777777" w:rsidTr="00C5346A">
        <w:trPr>
          <w:trHeight w:val="154"/>
        </w:trPr>
        <w:tc>
          <w:tcPr>
            <w:tcW w:w="5665" w:type="dxa"/>
            <w:noWrap/>
            <w:hideMark/>
          </w:tcPr>
          <w:p w14:paraId="00CB928F"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Requires improvement or Inadequate</w:t>
            </w:r>
          </w:p>
        </w:tc>
        <w:tc>
          <w:tcPr>
            <w:tcW w:w="1560" w:type="dxa"/>
            <w:noWrap/>
          </w:tcPr>
          <w:p w14:paraId="1CC22DD3"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w:t>
            </w:r>
          </w:p>
        </w:tc>
        <w:tc>
          <w:tcPr>
            <w:tcW w:w="2835" w:type="dxa"/>
            <w:noWrap/>
          </w:tcPr>
          <w:p w14:paraId="6064C221"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22%</w:t>
            </w:r>
          </w:p>
        </w:tc>
      </w:tr>
      <w:tr w:rsidR="00206DB2" w:rsidRPr="00206DB2" w14:paraId="47622613" w14:textId="77777777" w:rsidTr="00C5346A">
        <w:trPr>
          <w:trHeight w:val="154"/>
        </w:trPr>
        <w:tc>
          <w:tcPr>
            <w:tcW w:w="5665" w:type="dxa"/>
            <w:noWrap/>
            <w:hideMark/>
          </w:tcPr>
          <w:p w14:paraId="69FF7F67"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Cherwell District Council</w:t>
            </w:r>
          </w:p>
        </w:tc>
        <w:tc>
          <w:tcPr>
            <w:tcW w:w="1560" w:type="dxa"/>
            <w:noWrap/>
          </w:tcPr>
          <w:p w14:paraId="09C777A6"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w:t>
            </w:r>
          </w:p>
        </w:tc>
        <w:tc>
          <w:tcPr>
            <w:tcW w:w="2835" w:type="dxa"/>
            <w:noWrap/>
          </w:tcPr>
          <w:p w14:paraId="4445DDFE"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8%</w:t>
            </w:r>
          </w:p>
        </w:tc>
      </w:tr>
      <w:tr w:rsidR="00206DB2" w:rsidRPr="00206DB2" w14:paraId="12DE522C" w14:textId="77777777" w:rsidTr="00C5346A">
        <w:trPr>
          <w:trHeight w:val="154"/>
        </w:trPr>
        <w:tc>
          <w:tcPr>
            <w:tcW w:w="5665" w:type="dxa"/>
            <w:noWrap/>
            <w:hideMark/>
          </w:tcPr>
          <w:p w14:paraId="1B5B87B6"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West Oxfordshire District Council</w:t>
            </w:r>
          </w:p>
        </w:tc>
        <w:tc>
          <w:tcPr>
            <w:tcW w:w="1560" w:type="dxa"/>
            <w:noWrap/>
          </w:tcPr>
          <w:p w14:paraId="21721EAC"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3</w:t>
            </w:r>
          </w:p>
        </w:tc>
        <w:tc>
          <w:tcPr>
            <w:tcW w:w="2835" w:type="dxa"/>
            <w:noWrap/>
          </w:tcPr>
          <w:p w14:paraId="320F5FE3"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30%</w:t>
            </w:r>
          </w:p>
        </w:tc>
      </w:tr>
      <w:tr w:rsidR="00206DB2" w:rsidRPr="00206DB2" w14:paraId="66E110C9" w14:textId="77777777" w:rsidTr="00C5346A">
        <w:trPr>
          <w:trHeight w:val="154"/>
        </w:trPr>
        <w:tc>
          <w:tcPr>
            <w:tcW w:w="5665" w:type="dxa"/>
            <w:noWrap/>
            <w:hideMark/>
          </w:tcPr>
          <w:p w14:paraId="76031921"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Oxford City Council</w:t>
            </w:r>
          </w:p>
        </w:tc>
        <w:tc>
          <w:tcPr>
            <w:tcW w:w="1560" w:type="dxa"/>
            <w:noWrap/>
          </w:tcPr>
          <w:p w14:paraId="6FE7FB33"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5</w:t>
            </w:r>
          </w:p>
        </w:tc>
        <w:tc>
          <w:tcPr>
            <w:tcW w:w="2835" w:type="dxa"/>
            <w:noWrap/>
          </w:tcPr>
          <w:p w14:paraId="319CC93E"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26%</w:t>
            </w:r>
          </w:p>
        </w:tc>
      </w:tr>
      <w:tr w:rsidR="00206DB2" w:rsidRPr="00206DB2" w14:paraId="49D78D98" w14:textId="77777777" w:rsidTr="00C5346A">
        <w:trPr>
          <w:trHeight w:val="154"/>
        </w:trPr>
        <w:tc>
          <w:tcPr>
            <w:tcW w:w="5665" w:type="dxa"/>
            <w:noWrap/>
          </w:tcPr>
          <w:p w14:paraId="634DD0E0"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South Oxfordshire District Council</w:t>
            </w:r>
          </w:p>
        </w:tc>
        <w:tc>
          <w:tcPr>
            <w:tcW w:w="1560" w:type="dxa"/>
            <w:noWrap/>
          </w:tcPr>
          <w:p w14:paraId="3B5303C2"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w:t>
            </w:r>
          </w:p>
        </w:tc>
        <w:tc>
          <w:tcPr>
            <w:tcW w:w="2835" w:type="dxa"/>
            <w:noWrap/>
          </w:tcPr>
          <w:p w14:paraId="7AC3EFE8"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22%</w:t>
            </w:r>
          </w:p>
        </w:tc>
      </w:tr>
      <w:tr w:rsidR="00206DB2" w:rsidRPr="00206DB2" w14:paraId="0D2CE22C" w14:textId="77777777" w:rsidTr="00C5346A">
        <w:trPr>
          <w:trHeight w:val="154"/>
        </w:trPr>
        <w:tc>
          <w:tcPr>
            <w:tcW w:w="5665" w:type="dxa"/>
            <w:noWrap/>
          </w:tcPr>
          <w:p w14:paraId="6D5FD2DD" w14:textId="77777777" w:rsidR="00206DB2" w:rsidRPr="00206DB2" w:rsidRDefault="00206DB2" w:rsidP="00206DB2">
            <w:pPr>
              <w:ind w:right="-851"/>
              <w:rPr>
                <w:rFonts w:ascii="Arial" w:hAnsi="Arial" w:cs="Arial"/>
                <w:color w:val="auto"/>
                <w:lang w:eastAsia="en-GB"/>
              </w:rPr>
            </w:pPr>
            <w:r w:rsidRPr="00206DB2">
              <w:rPr>
                <w:rFonts w:ascii="Arial" w:hAnsi="Arial" w:cs="Arial"/>
                <w:color w:val="auto"/>
              </w:rPr>
              <w:t>Vale of White Horse District Council</w:t>
            </w:r>
          </w:p>
        </w:tc>
        <w:tc>
          <w:tcPr>
            <w:tcW w:w="1560" w:type="dxa"/>
            <w:noWrap/>
          </w:tcPr>
          <w:p w14:paraId="10294F8A"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3</w:t>
            </w:r>
          </w:p>
        </w:tc>
        <w:tc>
          <w:tcPr>
            <w:tcW w:w="2835" w:type="dxa"/>
            <w:noWrap/>
          </w:tcPr>
          <w:p w14:paraId="1BDD204D" w14:textId="77777777" w:rsidR="00206DB2" w:rsidRPr="00206DB2" w:rsidRDefault="00206DB2" w:rsidP="00C5346A">
            <w:pPr>
              <w:ind w:right="-851"/>
              <w:jc w:val="center"/>
              <w:rPr>
                <w:rFonts w:ascii="Arial" w:hAnsi="Arial" w:cs="Arial"/>
                <w:color w:val="auto"/>
                <w:lang w:eastAsia="en-GB"/>
              </w:rPr>
            </w:pPr>
            <w:r w:rsidRPr="00206DB2">
              <w:rPr>
                <w:rFonts w:ascii="Arial" w:hAnsi="Arial" w:cs="Arial"/>
                <w:color w:val="auto"/>
              </w:rPr>
              <w:t>15%</w:t>
            </w:r>
          </w:p>
        </w:tc>
      </w:tr>
    </w:tbl>
    <w:p w14:paraId="08C3F927" w14:textId="77777777" w:rsidR="00020C5C" w:rsidRDefault="00020C5C" w:rsidP="00206DB2">
      <w:pPr>
        <w:spacing w:after="0" w:line="240" w:lineRule="auto"/>
        <w:ind w:right="-851"/>
        <w:jc w:val="both"/>
        <w:rPr>
          <w:rFonts w:ascii="Arial" w:hAnsi="Arial" w:cs="Arial"/>
          <w:color w:val="000000"/>
          <w:sz w:val="18"/>
          <w:szCs w:val="18"/>
          <w:vertAlign w:val="superscript"/>
        </w:rPr>
      </w:pPr>
    </w:p>
    <w:p w14:paraId="0DED6E4E" w14:textId="5BF608FF" w:rsidR="00206DB2" w:rsidRPr="00206DB2" w:rsidRDefault="00206DB2" w:rsidP="00206DB2">
      <w:pPr>
        <w:spacing w:after="0" w:line="240" w:lineRule="auto"/>
        <w:ind w:right="-851"/>
        <w:jc w:val="both"/>
        <w:rPr>
          <w:rFonts w:ascii="Arial" w:hAnsi="Arial" w:cs="Arial"/>
          <w:color w:val="000000"/>
          <w:sz w:val="18"/>
          <w:szCs w:val="18"/>
        </w:rPr>
      </w:pPr>
      <w:r w:rsidRPr="00206DB2">
        <w:rPr>
          <w:rFonts w:ascii="Arial" w:hAnsi="Arial" w:cs="Arial"/>
          <w:color w:val="000000"/>
          <w:sz w:val="18"/>
          <w:szCs w:val="18"/>
          <w:vertAlign w:val="superscript"/>
        </w:rPr>
        <w:t>1</w:t>
      </w:r>
      <w:r w:rsidRPr="00206DB2">
        <w:rPr>
          <w:rFonts w:ascii="Arial" w:hAnsi="Arial" w:cs="Arial"/>
          <w:color w:val="000000"/>
          <w:sz w:val="18"/>
          <w:szCs w:val="18"/>
        </w:rPr>
        <w:t xml:space="preserve"> 40  or more domiciliary care services across the UK</w:t>
      </w:r>
    </w:p>
    <w:p w14:paraId="68AD6247" w14:textId="77777777" w:rsidR="00206DB2" w:rsidRPr="00206DB2" w:rsidRDefault="00206DB2" w:rsidP="00206DB2">
      <w:pPr>
        <w:spacing w:after="0" w:line="240" w:lineRule="auto"/>
        <w:ind w:right="-851"/>
        <w:jc w:val="both"/>
        <w:rPr>
          <w:rFonts w:ascii="Arial" w:hAnsi="Arial" w:cs="Arial"/>
          <w:color w:val="000000"/>
          <w:sz w:val="18"/>
          <w:szCs w:val="18"/>
        </w:rPr>
      </w:pPr>
      <w:r w:rsidRPr="00206DB2">
        <w:rPr>
          <w:rFonts w:ascii="Arial" w:hAnsi="Arial" w:cs="Arial"/>
          <w:color w:val="000000"/>
          <w:sz w:val="18"/>
          <w:szCs w:val="18"/>
          <w:vertAlign w:val="superscript"/>
        </w:rPr>
        <w:t>2</w:t>
      </w:r>
      <w:r w:rsidRPr="00206DB2">
        <w:rPr>
          <w:rFonts w:ascii="Arial" w:hAnsi="Arial" w:cs="Arial"/>
          <w:color w:val="000000"/>
          <w:sz w:val="18"/>
          <w:szCs w:val="18"/>
        </w:rPr>
        <w:t xml:space="preserve"> 3 - 39 domiciliary care services across the UK</w:t>
      </w:r>
    </w:p>
    <w:p w14:paraId="5EA0239E" w14:textId="77777777" w:rsidR="00206DB2" w:rsidRPr="00206DB2" w:rsidRDefault="00206DB2" w:rsidP="00206DB2">
      <w:pPr>
        <w:spacing w:after="0" w:line="240" w:lineRule="auto"/>
        <w:ind w:right="-851"/>
        <w:jc w:val="both"/>
        <w:rPr>
          <w:rFonts w:ascii="Arial" w:hAnsi="Arial" w:cs="Arial"/>
          <w:color w:val="000000"/>
          <w:sz w:val="18"/>
          <w:szCs w:val="18"/>
        </w:rPr>
      </w:pPr>
      <w:r w:rsidRPr="00206DB2">
        <w:rPr>
          <w:rFonts w:ascii="Arial" w:hAnsi="Arial" w:cs="Arial"/>
          <w:color w:val="000000"/>
          <w:sz w:val="18"/>
          <w:szCs w:val="18"/>
          <w:vertAlign w:val="superscript"/>
        </w:rPr>
        <w:t xml:space="preserve">3 </w:t>
      </w:r>
      <w:r w:rsidRPr="00206DB2">
        <w:rPr>
          <w:rFonts w:ascii="Arial" w:hAnsi="Arial" w:cs="Arial"/>
          <w:color w:val="000000"/>
          <w:sz w:val="18"/>
          <w:szCs w:val="18"/>
        </w:rPr>
        <w:t>Fewer than three domiciliary care services across the UK</w:t>
      </w:r>
    </w:p>
    <w:p w14:paraId="40835ED5" w14:textId="77777777" w:rsidR="00206DB2" w:rsidRPr="00206DB2" w:rsidRDefault="00206DB2" w:rsidP="00206DB2">
      <w:pPr>
        <w:ind w:right="-851"/>
        <w:rPr>
          <w:rFonts w:ascii="Arial" w:hAnsi="Arial" w:cs="Arial"/>
        </w:rPr>
      </w:pPr>
    </w:p>
    <w:p w14:paraId="5633B720" w14:textId="28314887" w:rsidR="005273D4" w:rsidRDefault="00206DB2" w:rsidP="006D4E3D">
      <w:pPr>
        <w:ind w:right="-851"/>
        <w:rPr>
          <w:rFonts w:ascii="Arial" w:hAnsi="Arial" w:cs="Arial"/>
        </w:rPr>
      </w:pPr>
      <w:r w:rsidRPr="00206DB2">
        <w:rPr>
          <w:rFonts w:ascii="Arial" w:hAnsi="Arial" w:cs="Arial"/>
        </w:rPr>
        <w:t>Reservations based on this include that there are no validated submissions from providers located in North Oxfordshire (only 2 providers submitted toolkits in Cherwell District) – this area is considered to have the greatest potential for recruitment and larger urban areas with less travel required (after Oxford City).</w:t>
      </w:r>
    </w:p>
    <w:p w14:paraId="05B81B78" w14:textId="03027575" w:rsidR="006D4E3D" w:rsidRDefault="006D4E3D" w:rsidP="006D4E3D">
      <w:pPr>
        <w:ind w:right="-851"/>
        <w:rPr>
          <w:rFonts w:ascii="Arial" w:hAnsi="Arial" w:cs="Arial"/>
        </w:rPr>
      </w:pPr>
    </w:p>
    <w:p w14:paraId="1060B916" w14:textId="69A94195" w:rsidR="006D4E3D" w:rsidRDefault="006D4E3D" w:rsidP="006D4E3D">
      <w:pPr>
        <w:ind w:right="-851"/>
        <w:rPr>
          <w:rFonts w:ascii="Arial" w:hAnsi="Arial" w:cs="Arial"/>
        </w:rPr>
      </w:pPr>
    </w:p>
    <w:p w14:paraId="1D45D1A4" w14:textId="1A883242" w:rsidR="006D4E3D" w:rsidRDefault="006D4E3D" w:rsidP="006D4E3D">
      <w:pPr>
        <w:ind w:right="-851"/>
        <w:rPr>
          <w:rFonts w:ascii="Arial" w:hAnsi="Arial" w:cs="Arial"/>
        </w:rPr>
      </w:pPr>
    </w:p>
    <w:p w14:paraId="75FCD1DC" w14:textId="613A10D4" w:rsidR="006D4E3D" w:rsidRDefault="006D4E3D" w:rsidP="006D4E3D">
      <w:pPr>
        <w:ind w:right="-851"/>
        <w:rPr>
          <w:rFonts w:ascii="Arial" w:hAnsi="Arial" w:cs="Arial"/>
        </w:rPr>
      </w:pPr>
    </w:p>
    <w:p w14:paraId="0BA46FAF" w14:textId="77777777" w:rsidR="00020C5C" w:rsidRDefault="00020C5C" w:rsidP="006D4E3D">
      <w:pPr>
        <w:ind w:right="-851"/>
        <w:rPr>
          <w:rFonts w:ascii="Arial" w:hAnsi="Arial" w:cs="Arial"/>
        </w:rPr>
      </w:pPr>
    </w:p>
    <w:p w14:paraId="03E3AB16" w14:textId="77777777" w:rsidR="006D4E3D" w:rsidRDefault="006D4E3D" w:rsidP="006D4E3D">
      <w:pPr>
        <w:ind w:right="-851"/>
        <w:rPr>
          <w:rFonts w:ascii="Arial" w:hAnsi="Arial" w:cs="Arial"/>
        </w:rPr>
      </w:pPr>
    </w:p>
    <w:p w14:paraId="07E6BF0E" w14:textId="77777777" w:rsidR="006C206C" w:rsidRPr="00206DB2" w:rsidRDefault="006C206C" w:rsidP="00206DB2">
      <w:pPr>
        <w:spacing w:after="0" w:line="240" w:lineRule="auto"/>
        <w:rPr>
          <w:rFonts w:ascii="Arial" w:hAnsi="Arial" w:cs="Arial"/>
        </w:rPr>
      </w:pPr>
    </w:p>
    <w:p w14:paraId="645062FE" w14:textId="77777777" w:rsidR="00206DB2" w:rsidRPr="00206DB2" w:rsidRDefault="00206DB2" w:rsidP="00206DB2">
      <w:pPr>
        <w:ind w:right="-851"/>
        <w:rPr>
          <w:rFonts w:ascii="Arial" w:hAnsi="Arial" w:cs="Arial"/>
        </w:rPr>
      </w:pPr>
      <w:r w:rsidRPr="00206DB2">
        <w:rPr>
          <w:rFonts w:ascii="Arial" w:hAnsi="Arial" w:cs="Arial"/>
        </w:rPr>
        <w:lastRenderedPageBreak/>
        <w:t>2.7.1 Geographical spread of home care providers in Oxfordshire County (respondents in comparison to non-respondents)</w:t>
      </w:r>
    </w:p>
    <w:p w14:paraId="7AF29F02" w14:textId="77777777" w:rsidR="00206DB2" w:rsidRPr="00206DB2" w:rsidRDefault="00206DB2" w:rsidP="00206DB2">
      <w:pPr>
        <w:ind w:right="-851"/>
        <w:jc w:val="center"/>
        <w:rPr>
          <w:rFonts w:ascii="Arial" w:hAnsi="Arial" w:cs="Arial"/>
        </w:rPr>
      </w:pPr>
      <w:r w:rsidRPr="00206DB2">
        <w:rPr>
          <w:rFonts w:ascii="Arial" w:hAnsi="Arial" w:cs="Arial"/>
          <w:noProof/>
        </w:rPr>
        <w:drawing>
          <wp:inline distT="0" distB="0" distL="0" distR="0" wp14:anchorId="5F177BDA" wp14:editId="6ED75A08">
            <wp:extent cx="4800053" cy="2915290"/>
            <wp:effectExtent l="0" t="0" r="635" b="0"/>
            <wp:docPr id="6" name="Picture 6" descr="Geographical spread of home care providers in Oxfordshir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eographical spread of home care providers in Oxfordshire Coun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2871" cy="2935222"/>
                    </a:xfrm>
                    <a:prstGeom prst="rect">
                      <a:avLst/>
                    </a:prstGeom>
                    <a:noFill/>
                  </pic:spPr>
                </pic:pic>
              </a:graphicData>
            </a:graphic>
          </wp:inline>
        </w:drawing>
      </w:r>
    </w:p>
    <w:p w14:paraId="58CD3FFA" w14:textId="500581B2" w:rsidR="007E48F2" w:rsidRPr="00020C5C" w:rsidRDefault="007E48F2" w:rsidP="00020C5C">
      <w:pPr>
        <w:numPr>
          <w:ilvl w:val="0"/>
          <w:numId w:val="21"/>
        </w:numPr>
        <w:ind w:left="0" w:right="-851" w:firstLine="3119"/>
        <w:contextualSpacing/>
        <w:rPr>
          <w:rFonts w:ascii="Arial" w:hAnsi="Arial" w:cs="Arial"/>
          <w:sz w:val="20"/>
          <w:szCs w:val="20"/>
        </w:rPr>
      </w:pPr>
      <w:r w:rsidRPr="00020C5C">
        <w:rPr>
          <w:rFonts w:ascii="Arial" w:hAnsi="Arial" w:cs="Arial"/>
          <w:sz w:val="20"/>
          <w:szCs w:val="20"/>
        </w:rPr>
        <w:t>Respondents</w:t>
      </w:r>
    </w:p>
    <w:p w14:paraId="551C341C" w14:textId="77777777" w:rsidR="007E48F2" w:rsidRPr="00020C5C" w:rsidRDefault="007E48F2" w:rsidP="00020C5C">
      <w:pPr>
        <w:numPr>
          <w:ilvl w:val="0"/>
          <w:numId w:val="22"/>
        </w:numPr>
        <w:ind w:left="0" w:right="-851" w:firstLine="3119"/>
        <w:contextualSpacing/>
        <w:rPr>
          <w:rFonts w:ascii="Arial" w:hAnsi="Arial" w:cs="Arial"/>
          <w:sz w:val="20"/>
          <w:szCs w:val="20"/>
        </w:rPr>
      </w:pPr>
      <w:r w:rsidRPr="00020C5C">
        <w:rPr>
          <w:rFonts w:ascii="Arial" w:hAnsi="Arial" w:cs="Arial"/>
          <w:sz w:val="20"/>
          <w:szCs w:val="20"/>
        </w:rPr>
        <w:t>Non-respondents</w:t>
      </w:r>
    </w:p>
    <w:p w14:paraId="4CE341B1" w14:textId="3607EB4B" w:rsidR="007E48F2" w:rsidRDefault="007E48F2" w:rsidP="00206DB2">
      <w:pPr>
        <w:ind w:right="-851"/>
        <w:rPr>
          <w:rFonts w:ascii="Arial" w:hAnsi="Arial" w:cs="Arial"/>
        </w:rPr>
      </w:pPr>
    </w:p>
    <w:p w14:paraId="140ED0D5" w14:textId="1B02938D" w:rsidR="00206DB2" w:rsidRPr="00206DB2" w:rsidRDefault="00206DB2" w:rsidP="00610FD0">
      <w:pPr>
        <w:ind w:right="-851"/>
        <w:jc w:val="both"/>
        <w:rPr>
          <w:rFonts w:ascii="Arial" w:hAnsi="Arial" w:cs="Arial"/>
        </w:rPr>
      </w:pPr>
      <w:r w:rsidRPr="00206DB2">
        <w:rPr>
          <w:rFonts w:ascii="Arial" w:hAnsi="Arial" w:cs="Arial"/>
        </w:rPr>
        <w:t>2.8 Analysis and results</w:t>
      </w:r>
    </w:p>
    <w:p w14:paraId="176E44BD" w14:textId="0FE16301" w:rsidR="00206DB2" w:rsidRPr="00206DB2" w:rsidRDefault="00206DB2" w:rsidP="00610FD0">
      <w:pPr>
        <w:ind w:right="-851"/>
        <w:jc w:val="both"/>
        <w:rPr>
          <w:rFonts w:ascii="Arial" w:hAnsi="Arial" w:cs="Arial"/>
        </w:rPr>
      </w:pPr>
      <w:r w:rsidRPr="00206DB2">
        <w:rPr>
          <w:rFonts w:ascii="Arial" w:hAnsi="Arial" w:cs="Arial"/>
        </w:rPr>
        <w:t xml:space="preserve">Summary results from fully and partly validated domiciliary care toolkits submitted by domiciliary care providers located in Oxfordshire are presented in Table 3, in the form prescribed by the DHSC guidance, the results are populated with median operating costs derived from the validated toolkits. </w:t>
      </w:r>
      <w:r w:rsidRPr="00B31F72">
        <w:rPr>
          <w:rFonts w:ascii="Arial" w:hAnsi="Arial" w:cs="Arial"/>
          <w:b/>
          <w:bCs/>
        </w:rPr>
        <w:t>It should be noted that this is the outcome of the exercise and not</w:t>
      </w:r>
      <w:r w:rsidR="0005231D">
        <w:rPr>
          <w:rFonts w:ascii="Arial" w:hAnsi="Arial" w:cs="Arial"/>
          <w:b/>
          <w:bCs/>
        </w:rPr>
        <w:t xml:space="preserve"> the final</w:t>
      </w:r>
      <w:r w:rsidRPr="00B31F72">
        <w:rPr>
          <w:rFonts w:ascii="Arial" w:hAnsi="Arial" w:cs="Arial"/>
          <w:b/>
          <w:bCs/>
        </w:rPr>
        <w:t xml:space="preserve"> Oxfordshire</w:t>
      </w:r>
      <w:r w:rsidR="00A50626" w:rsidRPr="00B31F72">
        <w:rPr>
          <w:rFonts w:ascii="Arial" w:hAnsi="Arial" w:cs="Arial"/>
          <w:b/>
          <w:bCs/>
        </w:rPr>
        <w:t xml:space="preserve"> County Council</w:t>
      </w:r>
      <w:r w:rsidRPr="00B31F72">
        <w:rPr>
          <w:rFonts w:ascii="Arial" w:hAnsi="Arial" w:cs="Arial"/>
          <w:b/>
          <w:bCs/>
        </w:rPr>
        <w:t xml:space="preserve"> cost of care which is £26.15.</w:t>
      </w:r>
      <w:r w:rsidRPr="00206DB2">
        <w:rPr>
          <w:rFonts w:ascii="Arial" w:hAnsi="Arial" w:cs="Arial"/>
        </w:rPr>
        <w:t xml:space="preserve"> This is due to the concerns previously outlined regarding back-office costs reported. </w:t>
      </w:r>
    </w:p>
    <w:p w14:paraId="7C4FB377" w14:textId="77777777" w:rsidR="00206DB2" w:rsidRPr="00206DB2" w:rsidRDefault="00206DB2" w:rsidP="00610FD0">
      <w:pPr>
        <w:ind w:right="-851"/>
        <w:jc w:val="both"/>
        <w:rPr>
          <w:rFonts w:ascii="Arial" w:hAnsi="Arial" w:cs="Arial"/>
        </w:rPr>
      </w:pPr>
      <w:r w:rsidRPr="00206DB2">
        <w:rPr>
          <w:rFonts w:ascii="Arial" w:hAnsi="Arial" w:cs="Arial"/>
        </w:rPr>
        <w:t>Return on operations is based on a benchmark 5% mark-up on operating costs, as agreed by the council based on the evidence presented in Appendix 1. This benchmark supersedes the median 4.8% mark-up on operating costs entered in the toolkit submissions.</w:t>
      </w:r>
    </w:p>
    <w:p w14:paraId="18A4CDE6" w14:textId="77777777" w:rsidR="00206DB2" w:rsidRPr="00206DB2" w:rsidRDefault="00206DB2" w:rsidP="00206DB2">
      <w:pPr>
        <w:ind w:right="-851"/>
        <w:rPr>
          <w:rFonts w:ascii="Arial" w:hAnsi="Arial" w:cs="Arial"/>
          <w:b/>
          <w:bCs/>
          <w:sz w:val="18"/>
          <w:szCs w:val="18"/>
        </w:rPr>
      </w:pPr>
      <w:r w:rsidRPr="00206DB2">
        <w:rPr>
          <w:rFonts w:ascii="Arial" w:hAnsi="Arial" w:cs="Arial"/>
          <w:b/>
          <w:bCs/>
          <w:sz w:val="18"/>
          <w:szCs w:val="18"/>
        </w:rPr>
        <w:t xml:space="preserve">Table 3 Median costs of domiciliary care services located in Oxfordshire which submitted valid toolkits, £ per week at 2022/23 prices and the number of returns taken into account. </w:t>
      </w:r>
    </w:p>
    <w:tbl>
      <w:tblPr>
        <w:tblStyle w:val="TableGrid3"/>
        <w:tblW w:w="10804" w:type="dxa"/>
        <w:tblInd w:w="-318" w:type="dxa"/>
        <w:tblLook w:val="04A0" w:firstRow="1" w:lastRow="0" w:firstColumn="1" w:lastColumn="0" w:noHBand="0" w:noVBand="1"/>
      </w:tblPr>
      <w:tblGrid>
        <w:gridCol w:w="6267"/>
        <w:gridCol w:w="1701"/>
        <w:gridCol w:w="1277"/>
        <w:gridCol w:w="1559"/>
      </w:tblGrid>
      <w:tr w:rsidR="00206DB2" w:rsidRPr="00206DB2" w14:paraId="6B748F3B" w14:textId="77777777" w:rsidTr="002D6E7B">
        <w:tc>
          <w:tcPr>
            <w:tcW w:w="6267" w:type="dxa"/>
          </w:tcPr>
          <w:p w14:paraId="057BB92A" w14:textId="77777777" w:rsidR="00206DB2" w:rsidRPr="00206DB2" w:rsidRDefault="00206DB2" w:rsidP="00206DB2">
            <w:pPr>
              <w:ind w:right="-851"/>
              <w:rPr>
                <w:rFonts w:ascii="Arial" w:hAnsi="Arial" w:cs="Arial"/>
                <w:sz w:val="20"/>
                <w:szCs w:val="20"/>
              </w:rPr>
            </w:pPr>
            <w:r w:rsidRPr="00206DB2">
              <w:rPr>
                <w:rFonts w:ascii="Arial" w:hAnsi="Arial" w:cs="Arial"/>
                <w:i/>
                <w:iCs/>
                <w:color w:val="auto"/>
                <w:sz w:val="20"/>
                <w:szCs w:val="20"/>
                <w:lang w:eastAsia="en-GB"/>
              </w:rPr>
              <w:t>Cost of Care Exercise results - £ per contact hour, Medians</w:t>
            </w:r>
          </w:p>
        </w:tc>
        <w:tc>
          <w:tcPr>
            <w:tcW w:w="1701" w:type="dxa"/>
          </w:tcPr>
          <w:p w14:paraId="767B341B"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Median</w:t>
            </w:r>
          </w:p>
        </w:tc>
        <w:tc>
          <w:tcPr>
            <w:tcW w:w="1277" w:type="dxa"/>
          </w:tcPr>
          <w:p w14:paraId="6F8AE452"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1st Quartile</w:t>
            </w:r>
          </w:p>
        </w:tc>
        <w:tc>
          <w:tcPr>
            <w:tcW w:w="1559" w:type="dxa"/>
          </w:tcPr>
          <w:p w14:paraId="3E660903"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3rd Quartile</w:t>
            </w:r>
          </w:p>
        </w:tc>
      </w:tr>
      <w:tr w:rsidR="00206DB2" w:rsidRPr="00206DB2" w14:paraId="57B37827" w14:textId="77777777" w:rsidTr="002D6E7B">
        <w:tc>
          <w:tcPr>
            <w:tcW w:w="6267" w:type="dxa"/>
          </w:tcPr>
          <w:p w14:paraId="71A7ADC9" w14:textId="77777777" w:rsidR="00206DB2" w:rsidRPr="00206DB2" w:rsidRDefault="00206DB2" w:rsidP="00206DB2">
            <w:pPr>
              <w:ind w:right="-851"/>
              <w:rPr>
                <w:rFonts w:ascii="Arial" w:hAnsi="Arial" w:cs="Arial"/>
                <w:b/>
                <w:bCs/>
                <w:sz w:val="20"/>
                <w:szCs w:val="20"/>
              </w:rPr>
            </w:pPr>
          </w:p>
        </w:tc>
        <w:tc>
          <w:tcPr>
            <w:tcW w:w="1701" w:type="dxa"/>
            <w:vAlign w:val="center"/>
          </w:tcPr>
          <w:p w14:paraId="48C2F2D4"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w:t>
            </w:r>
          </w:p>
        </w:tc>
        <w:tc>
          <w:tcPr>
            <w:tcW w:w="1277" w:type="dxa"/>
            <w:vAlign w:val="center"/>
          </w:tcPr>
          <w:p w14:paraId="79EA7DC3"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w:t>
            </w:r>
          </w:p>
        </w:tc>
        <w:tc>
          <w:tcPr>
            <w:tcW w:w="1559" w:type="dxa"/>
            <w:vAlign w:val="center"/>
          </w:tcPr>
          <w:p w14:paraId="33E79E5F"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w:t>
            </w:r>
          </w:p>
        </w:tc>
      </w:tr>
      <w:tr w:rsidR="00206DB2" w:rsidRPr="00206DB2" w14:paraId="66A58990" w14:textId="77777777" w:rsidTr="002D6E7B">
        <w:tc>
          <w:tcPr>
            <w:tcW w:w="6267" w:type="dxa"/>
            <w:shd w:val="clear" w:color="auto" w:fill="D9D9D9" w:themeFill="background1" w:themeFillShade="D9"/>
          </w:tcPr>
          <w:p w14:paraId="1B15619D"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Total Care worker Costs:</w:t>
            </w:r>
          </w:p>
        </w:tc>
        <w:tc>
          <w:tcPr>
            <w:tcW w:w="1701" w:type="dxa"/>
            <w:shd w:val="clear" w:color="auto" w:fill="D9D9D9" w:themeFill="background1" w:themeFillShade="D9"/>
          </w:tcPr>
          <w:p w14:paraId="1E4E77AA"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18.70</w:t>
            </w:r>
          </w:p>
        </w:tc>
        <w:tc>
          <w:tcPr>
            <w:tcW w:w="1277" w:type="dxa"/>
            <w:shd w:val="clear" w:color="auto" w:fill="D9D9D9" w:themeFill="background1" w:themeFillShade="D9"/>
          </w:tcPr>
          <w:p w14:paraId="43516E01"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17.83</w:t>
            </w:r>
          </w:p>
        </w:tc>
        <w:tc>
          <w:tcPr>
            <w:tcW w:w="1559" w:type="dxa"/>
            <w:shd w:val="clear" w:color="auto" w:fill="D9D9D9" w:themeFill="background1" w:themeFillShade="D9"/>
          </w:tcPr>
          <w:p w14:paraId="25F5ED8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22.90</w:t>
            </w:r>
          </w:p>
        </w:tc>
      </w:tr>
      <w:tr w:rsidR="00206DB2" w:rsidRPr="00206DB2" w14:paraId="4C7F4168" w14:textId="77777777" w:rsidTr="002D6E7B">
        <w:tc>
          <w:tcPr>
            <w:tcW w:w="6267" w:type="dxa"/>
          </w:tcPr>
          <w:p w14:paraId="779B4462"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Direct Care - direct pay</w:t>
            </w:r>
          </w:p>
        </w:tc>
        <w:tc>
          <w:tcPr>
            <w:tcW w:w="1701" w:type="dxa"/>
          </w:tcPr>
          <w:p w14:paraId="1A9B5319"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11.97  (18)</w:t>
            </w:r>
          </w:p>
        </w:tc>
        <w:tc>
          <w:tcPr>
            <w:tcW w:w="1277" w:type="dxa"/>
          </w:tcPr>
          <w:p w14:paraId="53CFA459"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11.001  (18)</w:t>
            </w:r>
          </w:p>
        </w:tc>
        <w:tc>
          <w:tcPr>
            <w:tcW w:w="1559" w:type="dxa"/>
          </w:tcPr>
          <w:p w14:paraId="5FE0C1FF"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13.1  (18)</w:t>
            </w:r>
          </w:p>
        </w:tc>
      </w:tr>
      <w:tr w:rsidR="00206DB2" w:rsidRPr="00206DB2" w14:paraId="31AC2C10" w14:textId="77777777" w:rsidTr="002D6E7B">
        <w:tc>
          <w:tcPr>
            <w:tcW w:w="6267" w:type="dxa"/>
          </w:tcPr>
          <w:p w14:paraId="48FD1097"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Travel Time</w:t>
            </w:r>
          </w:p>
        </w:tc>
        <w:tc>
          <w:tcPr>
            <w:tcW w:w="1701" w:type="dxa"/>
          </w:tcPr>
          <w:p w14:paraId="2F725A9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0.49  (20)</w:t>
            </w:r>
          </w:p>
        </w:tc>
        <w:tc>
          <w:tcPr>
            <w:tcW w:w="1277" w:type="dxa"/>
          </w:tcPr>
          <w:p w14:paraId="5109C4EB"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1.543  (20)</w:t>
            </w:r>
          </w:p>
        </w:tc>
        <w:tc>
          <w:tcPr>
            <w:tcW w:w="1559" w:type="dxa"/>
          </w:tcPr>
          <w:p w14:paraId="7ED44D73"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2.44  (20)</w:t>
            </w:r>
          </w:p>
        </w:tc>
      </w:tr>
      <w:tr w:rsidR="00206DB2" w:rsidRPr="00206DB2" w14:paraId="66C23B82" w14:textId="77777777" w:rsidTr="002D6E7B">
        <w:tc>
          <w:tcPr>
            <w:tcW w:w="6267" w:type="dxa"/>
          </w:tcPr>
          <w:p w14:paraId="3523423F"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Mileage</w:t>
            </w:r>
          </w:p>
        </w:tc>
        <w:tc>
          <w:tcPr>
            <w:tcW w:w="1701" w:type="dxa"/>
          </w:tcPr>
          <w:p w14:paraId="24B13BF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1.76  (17)</w:t>
            </w:r>
          </w:p>
        </w:tc>
        <w:tc>
          <w:tcPr>
            <w:tcW w:w="1277" w:type="dxa"/>
          </w:tcPr>
          <w:p w14:paraId="3E56146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1.333  (17)</w:t>
            </w:r>
          </w:p>
        </w:tc>
        <w:tc>
          <w:tcPr>
            <w:tcW w:w="1559" w:type="dxa"/>
          </w:tcPr>
          <w:p w14:paraId="07586FB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2.05  (17)</w:t>
            </w:r>
          </w:p>
        </w:tc>
      </w:tr>
      <w:tr w:rsidR="00206DB2" w:rsidRPr="00206DB2" w14:paraId="5BB8E721" w14:textId="77777777" w:rsidTr="002D6E7B">
        <w:tc>
          <w:tcPr>
            <w:tcW w:w="6267" w:type="dxa"/>
          </w:tcPr>
          <w:p w14:paraId="4471D26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lastRenderedPageBreak/>
              <w:t>PPE</w:t>
            </w:r>
          </w:p>
        </w:tc>
        <w:tc>
          <w:tcPr>
            <w:tcW w:w="1701" w:type="dxa"/>
          </w:tcPr>
          <w:p w14:paraId="5DA0992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0.29  (15)</w:t>
            </w:r>
          </w:p>
        </w:tc>
        <w:tc>
          <w:tcPr>
            <w:tcW w:w="1277" w:type="dxa"/>
          </w:tcPr>
          <w:p w14:paraId="75200C5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0.24  (15)</w:t>
            </w:r>
          </w:p>
        </w:tc>
        <w:tc>
          <w:tcPr>
            <w:tcW w:w="1559" w:type="dxa"/>
          </w:tcPr>
          <w:p w14:paraId="69862EA9"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0.47  (15)</w:t>
            </w:r>
          </w:p>
        </w:tc>
      </w:tr>
      <w:tr w:rsidR="00206DB2" w:rsidRPr="00206DB2" w14:paraId="71F3FAAF" w14:textId="77777777" w:rsidTr="002D6E7B">
        <w:tc>
          <w:tcPr>
            <w:tcW w:w="6267" w:type="dxa"/>
          </w:tcPr>
          <w:p w14:paraId="5F87BFBE"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Training (staff time)</w:t>
            </w:r>
          </w:p>
        </w:tc>
        <w:tc>
          <w:tcPr>
            <w:tcW w:w="1701" w:type="dxa"/>
          </w:tcPr>
          <w:p w14:paraId="75D3C54B"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0.27  (13)</w:t>
            </w:r>
          </w:p>
        </w:tc>
        <w:tc>
          <w:tcPr>
            <w:tcW w:w="1277" w:type="dxa"/>
          </w:tcPr>
          <w:p w14:paraId="5844D651"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0.242  (13)</w:t>
            </w:r>
          </w:p>
        </w:tc>
        <w:tc>
          <w:tcPr>
            <w:tcW w:w="1559" w:type="dxa"/>
          </w:tcPr>
          <w:p w14:paraId="63DEB5DE"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0.55  (13)</w:t>
            </w:r>
          </w:p>
        </w:tc>
      </w:tr>
      <w:tr w:rsidR="00206DB2" w:rsidRPr="00206DB2" w14:paraId="4484D6F8" w14:textId="77777777" w:rsidTr="002D6E7B">
        <w:tc>
          <w:tcPr>
            <w:tcW w:w="6267" w:type="dxa"/>
          </w:tcPr>
          <w:p w14:paraId="37E50123"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Holiday</w:t>
            </w:r>
          </w:p>
        </w:tc>
        <w:tc>
          <w:tcPr>
            <w:tcW w:w="1701" w:type="dxa"/>
          </w:tcPr>
          <w:p w14:paraId="67697567"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1.73  (19)</w:t>
            </w:r>
          </w:p>
        </w:tc>
        <w:tc>
          <w:tcPr>
            <w:tcW w:w="1277" w:type="dxa"/>
          </w:tcPr>
          <w:p w14:paraId="53C9DA84"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1.668  (19)</w:t>
            </w:r>
          </w:p>
        </w:tc>
        <w:tc>
          <w:tcPr>
            <w:tcW w:w="1559" w:type="dxa"/>
          </w:tcPr>
          <w:p w14:paraId="01D0DB97"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1.87  (19)</w:t>
            </w:r>
          </w:p>
        </w:tc>
      </w:tr>
      <w:tr w:rsidR="00206DB2" w:rsidRPr="00206DB2" w14:paraId="46BBA520" w14:textId="77777777" w:rsidTr="002D6E7B">
        <w:tc>
          <w:tcPr>
            <w:tcW w:w="6267" w:type="dxa"/>
          </w:tcPr>
          <w:p w14:paraId="3737BAE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Additional Non-Contact Pay Costs</w:t>
            </w:r>
          </w:p>
        </w:tc>
        <w:tc>
          <w:tcPr>
            <w:tcW w:w="1701" w:type="dxa"/>
          </w:tcPr>
          <w:p w14:paraId="7009A2A7"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0.31  (3)</w:t>
            </w:r>
          </w:p>
        </w:tc>
        <w:tc>
          <w:tcPr>
            <w:tcW w:w="1277" w:type="dxa"/>
          </w:tcPr>
          <w:p w14:paraId="3CB1DB1A"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0.289  (3)</w:t>
            </w:r>
          </w:p>
        </w:tc>
        <w:tc>
          <w:tcPr>
            <w:tcW w:w="1559" w:type="dxa"/>
          </w:tcPr>
          <w:p w14:paraId="0E2F46CB"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0.33  (3)</w:t>
            </w:r>
          </w:p>
        </w:tc>
      </w:tr>
      <w:tr w:rsidR="00206DB2" w:rsidRPr="00206DB2" w14:paraId="41DEEE14" w14:textId="77777777" w:rsidTr="002D6E7B">
        <w:tc>
          <w:tcPr>
            <w:tcW w:w="6267" w:type="dxa"/>
          </w:tcPr>
          <w:p w14:paraId="27BA8C2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Sickness/Maternity &amp; Paternity Pay</w:t>
            </w:r>
          </w:p>
        </w:tc>
        <w:tc>
          <w:tcPr>
            <w:tcW w:w="1701" w:type="dxa"/>
          </w:tcPr>
          <w:p w14:paraId="3A9E76C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0.4  (19)</w:t>
            </w:r>
          </w:p>
        </w:tc>
        <w:tc>
          <w:tcPr>
            <w:tcW w:w="1277" w:type="dxa"/>
          </w:tcPr>
          <w:p w14:paraId="6C3E766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0.196  (19)</w:t>
            </w:r>
          </w:p>
        </w:tc>
        <w:tc>
          <w:tcPr>
            <w:tcW w:w="1559" w:type="dxa"/>
          </w:tcPr>
          <w:p w14:paraId="3350E7F2"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0.49  (19)</w:t>
            </w:r>
          </w:p>
        </w:tc>
      </w:tr>
      <w:tr w:rsidR="00206DB2" w:rsidRPr="00206DB2" w14:paraId="693DC0FC" w14:textId="77777777" w:rsidTr="002D6E7B">
        <w:tc>
          <w:tcPr>
            <w:tcW w:w="6267" w:type="dxa"/>
          </w:tcPr>
          <w:p w14:paraId="206053D4"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Notice/Suspension Pay</w:t>
            </w:r>
          </w:p>
        </w:tc>
        <w:tc>
          <w:tcPr>
            <w:tcW w:w="1701" w:type="dxa"/>
          </w:tcPr>
          <w:p w14:paraId="2A7CA85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0.06  (5)</w:t>
            </w:r>
          </w:p>
        </w:tc>
        <w:tc>
          <w:tcPr>
            <w:tcW w:w="1277" w:type="dxa"/>
          </w:tcPr>
          <w:p w14:paraId="0B52A73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0.048  (5)</w:t>
            </w:r>
          </w:p>
        </w:tc>
        <w:tc>
          <w:tcPr>
            <w:tcW w:w="1559" w:type="dxa"/>
          </w:tcPr>
          <w:p w14:paraId="7CE49BE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0.07  (5)</w:t>
            </w:r>
          </w:p>
        </w:tc>
      </w:tr>
      <w:tr w:rsidR="00206DB2" w:rsidRPr="00206DB2" w14:paraId="4B9C8994" w14:textId="77777777" w:rsidTr="002D6E7B">
        <w:tc>
          <w:tcPr>
            <w:tcW w:w="6267" w:type="dxa"/>
          </w:tcPr>
          <w:p w14:paraId="01217C43"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NI (direct care hours)</w:t>
            </w:r>
          </w:p>
        </w:tc>
        <w:tc>
          <w:tcPr>
            <w:tcW w:w="1701" w:type="dxa"/>
          </w:tcPr>
          <w:p w14:paraId="7CA8BB5A"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0.93  (17)</w:t>
            </w:r>
          </w:p>
        </w:tc>
        <w:tc>
          <w:tcPr>
            <w:tcW w:w="1277" w:type="dxa"/>
          </w:tcPr>
          <w:p w14:paraId="7028618E"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0.807  (17)</w:t>
            </w:r>
          </w:p>
        </w:tc>
        <w:tc>
          <w:tcPr>
            <w:tcW w:w="1559" w:type="dxa"/>
          </w:tcPr>
          <w:p w14:paraId="583385B0"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1.03  (17)</w:t>
            </w:r>
          </w:p>
        </w:tc>
      </w:tr>
      <w:tr w:rsidR="00206DB2" w:rsidRPr="00206DB2" w14:paraId="271064BC" w14:textId="77777777" w:rsidTr="002D6E7B">
        <w:tc>
          <w:tcPr>
            <w:tcW w:w="6267" w:type="dxa"/>
          </w:tcPr>
          <w:p w14:paraId="4F56C809"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Pension (direct care hours)</w:t>
            </w:r>
          </w:p>
        </w:tc>
        <w:tc>
          <w:tcPr>
            <w:tcW w:w="1701" w:type="dxa"/>
          </w:tcPr>
          <w:p w14:paraId="4F44CFDE"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0.49  (14)</w:t>
            </w:r>
          </w:p>
        </w:tc>
        <w:tc>
          <w:tcPr>
            <w:tcW w:w="1277" w:type="dxa"/>
          </w:tcPr>
          <w:p w14:paraId="1DE7663F"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0.467  (14)</w:t>
            </w:r>
          </w:p>
        </w:tc>
        <w:tc>
          <w:tcPr>
            <w:tcW w:w="1559" w:type="dxa"/>
          </w:tcPr>
          <w:p w14:paraId="514A3642"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0.5  (14)</w:t>
            </w:r>
          </w:p>
        </w:tc>
      </w:tr>
      <w:tr w:rsidR="00206DB2" w:rsidRPr="00206DB2" w14:paraId="2B886B3B" w14:textId="77777777" w:rsidTr="002D6E7B">
        <w:tc>
          <w:tcPr>
            <w:tcW w:w="6267" w:type="dxa"/>
            <w:shd w:val="clear" w:color="auto" w:fill="D9D9D9" w:themeFill="background1" w:themeFillShade="D9"/>
          </w:tcPr>
          <w:p w14:paraId="3AF54335" w14:textId="77777777" w:rsidR="00206DB2" w:rsidRPr="00206DB2" w:rsidRDefault="00206DB2" w:rsidP="00206DB2">
            <w:pPr>
              <w:ind w:right="-851"/>
              <w:rPr>
                <w:rFonts w:ascii="Arial" w:hAnsi="Arial" w:cs="Arial"/>
                <w:sz w:val="20"/>
                <w:szCs w:val="20"/>
              </w:rPr>
            </w:pPr>
            <w:r w:rsidRPr="00206DB2">
              <w:rPr>
                <w:rFonts w:ascii="Arial" w:hAnsi="Arial" w:cs="Arial"/>
                <w:b/>
                <w:bCs/>
                <w:color w:val="auto"/>
                <w:sz w:val="20"/>
                <w:szCs w:val="20"/>
                <w:lang w:eastAsia="en-GB"/>
              </w:rPr>
              <w:t>Business Costs:</w:t>
            </w:r>
          </w:p>
        </w:tc>
        <w:tc>
          <w:tcPr>
            <w:tcW w:w="1701" w:type="dxa"/>
            <w:shd w:val="clear" w:color="auto" w:fill="D9D9D9" w:themeFill="background1" w:themeFillShade="D9"/>
          </w:tcPr>
          <w:p w14:paraId="6E2029F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9.99</w:t>
            </w:r>
          </w:p>
        </w:tc>
        <w:tc>
          <w:tcPr>
            <w:tcW w:w="1277" w:type="dxa"/>
            <w:shd w:val="clear" w:color="auto" w:fill="D9D9D9" w:themeFill="background1" w:themeFillShade="D9"/>
          </w:tcPr>
          <w:p w14:paraId="62F696CF"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7.05</w:t>
            </w:r>
          </w:p>
        </w:tc>
        <w:tc>
          <w:tcPr>
            <w:tcW w:w="1559" w:type="dxa"/>
            <w:shd w:val="clear" w:color="auto" w:fill="D9D9D9" w:themeFill="background1" w:themeFillShade="D9"/>
          </w:tcPr>
          <w:p w14:paraId="2904785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15.80</w:t>
            </w:r>
          </w:p>
        </w:tc>
      </w:tr>
      <w:tr w:rsidR="00206DB2" w:rsidRPr="00206DB2" w14:paraId="088B7673" w14:textId="77777777" w:rsidTr="002D6E7B">
        <w:tc>
          <w:tcPr>
            <w:tcW w:w="6267" w:type="dxa"/>
          </w:tcPr>
          <w:p w14:paraId="2B868BEE"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Back Office Staff</w:t>
            </w:r>
          </w:p>
        </w:tc>
        <w:tc>
          <w:tcPr>
            <w:tcW w:w="1701" w:type="dxa"/>
          </w:tcPr>
          <w:p w14:paraId="63B2E69A"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5.58  (16)</w:t>
            </w:r>
          </w:p>
        </w:tc>
        <w:tc>
          <w:tcPr>
            <w:tcW w:w="1277" w:type="dxa"/>
          </w:tcPr>
          <w:p w14:paraId="6145842D"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3.85  (16)</w:t>
            </w:r>
          </w:p>
        </w:tc>
        <w:tc>
          <w:tcPr>
            <w:tcW w:w="1559" w:type="dxa"/>
          </w:tcPr>
          <w:p w14:paraId="42EC913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6.89  (16)</w:t>
            </w:r>
          </w:p>
        </w:tc>
      </w:tr>
      <w:tr w:rsidR="00206DB2" w:rsidRPr="00206DB2" w14:paraId="32320348" w14:textId="77777777" w:rsidTr="002D6E7B">
        <w:tc>
          <w:tcPr>
            <w:tcW w:w="6267" w:type="dxa"/>
          </w:tcPr>
          <w:p w14:paraId="694BC53C"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Travel Costs (parking/vehicle lease etc.)</w:t>
            </w:r>
          </w:p>
        </w:tc>
        <w:tc>
          <w:tcPr>
            <w:tcW w:w="1701" w:type="dxa"/>
          </w:tcPr>
          <w:p w14:paraId="1ADA762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0.56  (5)</w:t>
            </w:r>
          </w:p>
        </w:tc>
        <w:tc>
          <w:tcPr>
            <w:tcW w:w="1277" w:type="dxa"/>
          </w:tcPr>
          <w:p w14:paraId="49F26F9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0.43  (5)</w:t>
            </w:r>
          </w:p>
        </w:tc>
        <w:tc>
          <w:tcPr>
            <w:tcW w:w="1559" w:type="dxa"/>
          </w:tcPr>
          <w:p w14:paraId="74B0802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1.86  (5)</w:t>
            </w:r>
          </w:p>
        </w:tc>
      </w:tr>
      <w:tr w:rsidR="00206DB2" w:rsidRPr="00206DB2" w14:paraId="58ACAE8B" w14:textId="77777777" w:rsidTr="002D6E7B">
        <w:tc>
          <w:tcPr>
            <w:tcW w:w="6267" w:type="dxa"/>
          </w:tcPr>
          <w:p w14:paraId="43B4BF31"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Rent / Rates / Utilities</w:t>
            </w:r>
          </w:p>
        </w:tc>
        <w:tc>
          <w:tcPr>
            <w:tcW w:w="1701" w:type="dxa"/>
          </w:tcPr>
          <w:p w14:paraId="08179312"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0.72  (19)</w:t>
            </w:r>
          </w:p>
        </w:tc>
        <w:tc>
          <w:tcPr>
            <w:tcW w:w="1277" w:type="dxa"/>
          </w:tcPr>
          <w:p w14:paraId="0B71CBF8"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0.55  (19)</w:t>
            </w:r>
          </w:p>
        </w:tc>
        <w:tc>
          <w:tcPr>
            <w:tcW w:w="1559" w:type="dxa"/>
          </w:tcPr>
          <w:p w14:paraId="27AAA5F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1.08  (19)</w:t>
            </w:r>
          </w:p>
        </w:tc>
      </w:tr>
      <w:tr w:rsidR="00206DB2" w:rsidRPr="00206DB2" w14:paraId="61F52FB3" w14:textId="77777777" w:rsidTr="002D6E7B">
        <w:tc>
          <w:tcPr>
            <w:tcW w:w="6267" w:type="dxa"/>
          </w:tcPr>
          <w:p w14:paraId="73B0F9D6"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Recruitment / DBS</w:t>
            </w:r>
          </w:p>
        </w:tc>
        <w:tc>
          <w:tcPr>
            <w:tcW w:w="1701" w:type="dxa"/>
          </w:tcPr>
          <w:p w14:paraId="676D83C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0.12  (20)</w:t>
            </w:r>
          </w:p>
        </w:tc>
        <w:tc>
          <w:tcPr>
            <w:tcW w:w="1277" w:type="dxa"/>
          </w:tcPr>
          <w:p w14:paraId="6F660917"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0.04  (20)</w:t>
            </w:r>
          </w:p>
        </w:tc>
        <w:tc>
          <w:tcPr>
            <w:tcW w:w="1559" w:type="dxa"/>
          </w:tcPr>
          <w:p w14:paraId="3877AB58"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0.6  (20)</w:t>
            </w:r>
          </w:p>
        </w:tc>
      </w:tr>
      <w:tr w:rsidR="00206DB2" w:rsidRPr="00206DB2" w14:paraId="67BCCC08" w14:textId="77777777" w:rsidTr="002D6E7B">
        <w:tc>
          <w:tcPr>
            <w:tcW w:w="6267" w:type="dxa"/>
          </w:tcPr>
          <w:p w14:paraId="1633D2FA"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Training (third party)</w:t>
            </w:r>
          </w:p>
        </w:tc>
        <w:tc>
          <w:tcPr>
            <w:tcW w:w="1701" w:type="dxa"/>
          </w:tcPr>
          <w:p w14:paraId="5D317857"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(20)</w:t>
            </w:r>
          </w:p>
        </w:tc>
        <w:tc>
          <w:tcPr>
            <w:tcW w:w="1277" w:type="dxa"/>
          </w:tcPr>
          <w:p w14:paraId="4DE2924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0.04  (20)</w:t>
            </w:r>
          </w:p>
        </w:tc>
        <w:tc>
          <w:tcPr>
            <w:tcW w:w="1559" w:type="dxa"/>
          </w:tcPr>
          <w:p w14:paraId="08134EA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0.14  (20)</w:t>
            </w:r>
          </w:p>
        </w:tc>
      </w:tr>
      <w:tr w:rsidR="00206DB2" w:rsidRPr="00206DB2" w14:paraId="0A49814F" w14:textId="77777777" w:rsidTr="002D6E7B">
        <w:tc>
          <w:tcPr>
            <w:tcW w:w="6267" w:type="dxa"/>
          </w:tcPr>
          <w:p w14:paraId="50EC42AB"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IT (Hardware, Software CRM, ECM)</w:t>
            </w:r>
          </w:p>
        </w:tc>
        <w:tc>
          <w:tcPr>
            <w:tcW w:w="1701" w:type="dxa"/>
          </w:tcPr>
          <w:p w14:paraId="12C68C51"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0.26  (18)</w:t>
            </w:r>
          </w:p>
        </w:tc>
        <w:tc>
          <w:tcPr>
            <w:tcW w:w="1277" w:type="dxa"/>
          </w:tcPr>
          <w:p w14:paraId="6601AC02"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0.12  (18)</w:t>
            </w:r>
          </w:p>
        </w:tc>
        <w:tc>
          <w:tcPr>
            <w:tcW w:w="1559" w:type="dxa"/>
          </w:tcPr>
          <w:p w14:paraId="6930A57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0.38  (18)</w:t>
            </w:r>
          </w:p>
        </w:tc>
      </w:tr>
      <w:tr w:rsidR="00206DB2" w:rsidRPr="00206DB2" w14:paraId="3726FE6E" w14:textId="77777777" w:rsidTr="002D6E7B">
        <w:tc>
          <w:tcPr>
            <w:tcW w:w="6267" w:type="dxa"/>
          </w:tcPr>
          <w:p w14:paraId="40F25F7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Telephony</w:t>
            </w:r>
          </w:p>
        </w:tc>
        <w:tc>
          <w:tcPr>
            <w:tcW w:w="1701" w:type="dxa"/>
          </w:tcPr>
          <w:p w14:paraId="2D44E857"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  (19)</w:t>
            </w:r>
          </w:p>
        </w:tc>
        <w:tc>
          <w:tcPr>
            <w:tcW w:w="1277" w:type="dxa"/>
          </w:tcPr>
          <w:p w14:paraId="47922D78"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(19)</w:t>
            </w:r>
          </w:p>
        </w:tc>
        <w:tc>
          <w:tcPr>
            <w:tcW w:w="1559" w:type="dxa"/>
          </w:tcPr>
          <w:p w14:paraId="4DE72298"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0.16  (19)</w:t>
            </w:r>
          </w:p>
        </w:tc>
      </w:tr>
      <w:tr w:rsidR="00206DB2" w:rsidRPr="00206DB2" w14:paraId="1689FC77" w14:textId="77777777" w:rsidTr="002D6E7B">
        <w:tc>
          <w:tcPr>
            <w:tcW w:w="6267" w:type="dxa"/>
          </w:tcPr>
          <w:p w14:paraId="6DFB9A4D"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Stationery / Postage</w:t>
            </w:r>
          </w:p>
        </w:tc>
        <w:tc>
          <w:tcPr>
            <w:tcW w:w="1701" w:type="dxa"/>
          </w:tcPr>
          <w:p w14:paraId="685B5BBB"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(17)</w:t>
            </w:r>
          </w:p>
        </w:tc>
        <w:tc>
          <w:tcPr>
            <w:tcW w:w="1277" w:type="dxa"/>
          </w:tcPr>
          <w:p w14:paraId="13DAF42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0.05  (17)</w:t>
            </w:r>
          </w:p>
        </w:tc>
        <w:tc>
          <w:tcPr>
            <w:tcW w:w="1559" w:type="dxa"/>
          </w:tcPr>
          <w:p w14:paraId="51D5EA4A"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0.08  (17)</w:t>
            </w:r>
          </w:p>
        </w:tc>
      </w:tr>
      <w:tr w:rsidR="00206DB2" w:rsidRPr="00206DB2" w14:paraId="3FFD8030" w14:textId="77777777" w:rsidTr="002D6E7B">
        <w:tc>
          <w:tcPr>
            <w:tcW w:w="6267" w:type="dxa"/>
          </w:tcPr>
          <w:p w14:paraId="46A72411"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Insurance</w:t>
            </w:r>
          </w:p>
        </w:tc>
        <w:tc>
          <w:tcPr>
            <w:tcW w:w="1701" w:type="dxa"/>
          </w:tcPr>
          <w:p w14:paraId="151F7AEB"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0.14  (16)</w:t>
            </w:r>
          </w:p>
        </w:tc>
        <w:tc>
          <w:tcPr>
            <w:tcW w:w="1277" w:type="dxa"/>
          </w:tcPr>
          <w:p w14:paraId="73BB3B92"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0.11  (16)</w:t>
            </w:r>
          </w:p>
        </w:tc>
        <w:tc>
          <w:tcPr>
            <w:tcW w:w="1559" w:type="dxa"/>
          </w:tcPr>
          <w:p w14:paraId="70E944B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0.19  (16)</w:t>
            </w:r>
          </w:p>
        </w:tc>
      </w:tr>
      <w:tr w:rsidR="00206DB2" w:rsidRPr="00206DB2" w14:paraId="208FC0CB" w14:textId="77777777" w:rsidTr="002D6E7B">
        <w:tc>
          <w:tcPr>
            <w:tcW w:w="6267" w:type="dxa"/>
          </w:tcPr>
          <w:p w14:paraId="7B2B8055" w14:textId="77777777" w:rsidR="00206DB2" w:rsidRPr="00206DB2" w:rsidRDefault="00206DB2" w:rsidP="00206DB2">
            <w:pPr>
              <w:ind w:right="-851"/>
              <w:rPr>
                <w:rFonts w:ascii="Arial" w:hAnsi="Arial" w:cs="Arial"/>
                <w:sz w:val="20"/>
                <w:szCs w:val="20"/>
              </w:rPr>
            </w:pPr>
            <w:r w:rsidRPr="00206DB2">
              <w:rPr>
                <w:rFonts w:ascii="Arial" w:hAnsi="Arial" w:cs="Arial"/>
                <w:color w:val="auto"/>
                <w:sz w:val="20"/>
                <w:szCs w:val="20"/>
                <w:lang w:eastAsia="en-GB"/>
              </w:rPr>
              <w:t>Legal / Finance / Professional Fees</w:t>
            </w:r>
          </w:p>
        </w:tc>
        <w:tc>
          <w:tcPr>
            <w:tcW w:w="1701" w:type="dxa"/>
          </w:tcPr>
          <w:p w14:paraId="4EE74759"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0.11  (19)</w:t>
            </w:r>
          </w:p>
        </w:tc>
        <w:tc>
          <w:tcPr>
            <w:tcW w:w="1277" w:type="dxa"/>
          </w:tcPr>
          <w:p w14:paraId="19A8EE96"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0.06  (19)</w:t>
            </w:r>
          </w:p>
        </w:tc>
        <w:tc>
          <w:tcPr>
            <w:tcW w:w="1559" w:type="dxa"/>
          </w:tcPr>
          <w:p w14:paraId="00D5AE6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0.31  (19)</w:t>
            </w:r>
          </w:p>
        </w:tc>
      </w:tr>
      <w:tr w:rsidR="00206DB2" w:rsidRPr="00206DB2" w14:paraId="6B6B2D00" w14:textId="77777777" w:rsidTr="002D6E7B">
        <w:tc>
          <w:tcPr>
            <w:tcW w:w="6267" w:type="dxa"/>
          </w:tcPr>
          <w:p w14:paraId="45E3E16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Marketing</w:t>
            </w:r>
          </w:p>
        </w:tc>
        <w:tc>
          <w:tcPr>
            <w:tcW w:w="1701" w:type="dxa"/>
          </w:tcPr>
          <w:p w14:paraId="524AC721"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  (18)</w:t>
            </w:r>
          </w:p>
        </w:tc>
        <w:tc>
          <w:tcPr>
            <w:tcW w:w="1277" w:type="dxa"/>
          </w:tcPr>
          <w:p w14:paraId="19C620A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(18)</w:t>
            </w:r>
          </w:p>
        </w:tc>
        <w:tc>
          <w:tcPr>
            <w:tcW w:w="1559" w:type="dxa"/>
          </w:tcPr>
          <w:p w14:paraId="60DF23BE"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0.31  (18)</w:t>
            </w:r>
          </w:p>
        </w:tc>
      </w:tr>
      <w:tr w:rsidR="00206DB2" w:rsidRPr="00206DB2" w14:paraId="628D45ED" w14:textId="77777777" w:rsidTr="002D6E7B">
        <w:tc>
          <w:tcPr>
            <w:tcW w:w="6267" w:type="dxa"/>
          </w:tcPr>
          <w:p w14:paraId="09AA584F"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Audit &amp; Compliance</w:t>
            </w:r>
          </w:p>
        </w:tc>
        <w:tc>
          <w:tcPr>
            <w:tcW w:w="1701" w:type="dxa"/>
          </w:tcPr>
          <w:p w14:paraId="670A733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0.04  (11)</w:t>
            </w:r>
          </w:p>
        </w:tc>
        <w:tc>
          <w:tcPr>
            <w:tcW w:w="1277" w:type="dxa"/>
          </w:tcPr>
          <w:p w14:paraId="16F1E3E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0.03  (11)</w:t>
            </w:r>
          </w:p>
        </w:tc>
        <w:tc>
          <w:tcPr>
            <w:tcW w:w="1559" w:type="dxa"/>
          </w:tcPr>
          <w:p w14:paraId="58C04112"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(11)</w:t>
            </w:r>
          </w:p>
        </w:tc>
      </w:tr>
      <w:tr w:rsidR="00206DB2" w:rsidRPr="00206DB2" w14:paraId="458E1329" w14:textId="77777777" w:rsidTr="002D6E7B">
        <w:tc>
          <w:tcPr>
            <w:tcW w:w="6267" w:type="dxa"/>
          </w:tcPr>
          <w:p w14:paraId="60C06EA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Uniforms &amp; Other Consumables</w:t>
            </w:r>
          </w:p>
        </w:tc>
        <w:tc>
          <w:tcPr>
            <w:tcW w:w="1701" w:type="dxa"/>
          </w:tcPr>
          <w:p w14:paraId="51613F6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0.05  (15)</w:t>
            </w:r>
          </w:p>
        </w:tc>
        <w:tc>
          <w:tcPr>
            <w:tcW w:w="1277" w:type="dxa"/>
          </w:tcPr>
          <w:p w14:paraId="1AC92FC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0.04  (15)</w:t>
            </w:r>
          </w:p>
        </w:tc>
        <w:tc>
          <w:tcPr>
            <w:tcW w:w="1559" w:type="dxa"/>
          </w:tcPr>
          <w:p w14:paraId="3339A57A"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(15)</w:t>
            </w:r>
          </w:p>
        </w:tc>
      </w:tr>
      <w:tr w:rsidR="00206DB2" w:rsidRPr="00206DB2" w14:paraId="751D17B8" w14:textId="77777777" w:rsidTr="002D6E7B">
        <w:tc>
          <w:tcPr>
            <w:tcW w:w="6267" w:type="dxa"/>
          </w:tcPr>
          <w:p w14:paraId="7681DD9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Assistive Technology</w:t>
            </w:r>
          </w:p>
        </w:tc>
        <w:tc>
          <w:tcPr>
            <w:tcW w:w="1701" w:type="dxa"/>
          </w:tcPr>
          <w:p w14:paraId="6F1DDD10"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0.07  (5)</w:t>
            </w:r>
          </w:p>
        </w:tc>
        <w:tc>
          <w:tcPr>
            <w:tcW w:w="1277" w:type="dxa"/>
          </w:tcPr>
          <w:p w14:paraId="67B6A379"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0.04  (5)</w:t>
            </w:r>
          </w:p>
        </w:tc>
        <w:tc>
          <w:tcPr>
            <w:tcW w:w="1559" w:type="dxa"/>
          </w:tcPr>
          <w:p w14:paraId="64AA521D"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0.09  (5)</w:t>
            </w:r>
          </w:p>
        </w:tc>
      </w:tr>
      <w:tr w:rsidR="00206DB2" w:rsidRPr="00206DB2" w14:paraId="272838FA" w14:textId="77777777" w:rsidTr="002D6E7B">
        <w:tc>
          <w:tcPr>
            <w:tcW w:w="6267" w:type="dxa"/>
          </w:tcPr>
          <w:p w14:paraId="7823F157"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Central / Head Office Recharges</w:t>
            </w:r>
          </w:p>
        </w:tc>
        <w:tc>
          <w:tcPr>
            <w:tcW w:w="1701" w:type="dxa"/>
          </w:tcPr>
          <w:p w14:paraId="15EE8E6B"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1.48  (5)</w:t>
            </w:r>
          </w:p>
        </w:tc>
        <w:tc>
          <w:tcPr>
            <w:tcW w:w="1277" w:type="dxa"/>
          </w:tcPr>
          <w:p w14:paraId="7BDA636D"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1.2  (5)</w:t>
            </w:r>
          </w:p>
        </w:tc>
        <w:tc>
          <w:tcPr>
            <w:tcW w:w="1559" w:type="dxa"/>
          </w:tcPr>
          <w:p w14:paraId="04255486"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1.55  (5)</w:t>
            </w:r>
          </w:p>
        </w:tc>
      </w:tr>
      <w:tr w:rsidR="00206DB2" w:rsidRPr="00206DB2" w14:paraId="3A84EE10" w14:textId="77777777" w:rsidTr="002D6E7B">
        <w:tc>
          <w:tcPr>
            <w:tcW w:w="6267" w:type="dxa"/>
          </w:tcPr>
          <w:p w14:paraId="4D1E8D4F"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Additional Costs (Totals)</w:t>
            </w:r>
          </w:p>
        </w:tc>
        <w:tc>
          <w:tcPr>
            <w:tcW w:w="1701" w:type="dxa"/>
          </w:tcPr>
          <w:p w14:paraId="281FFC46"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0.41  (11)</w:t>
            </w:r>
          </w:p>
        </w:tc>
        <w:tc>
          <w:tcPr>
            <w:tcW w:w="1277" w:type="dxa"/>
          </w:tcPr>
          <w:p w14:paraId="6E1DC478"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0.24  (11)</w:t>
            </w:r>
          </w:p>
        </w:tc>
        <w:tc>
          <w:tcPr>
            <w:tcW w:w="1559" w:type="dxa"/>
          </w:tcPr>
          <w:p w14:paraId="070734E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1.88  (11)</w:t>
            </w:r>
          </w:p>
        </w:tc>
      </w:tr>
      <w:tr w:rsidR="00206DB2" w:rsidRPr="00206DB2" w14:paraId="1141C095" w14:textId="77777777" w:rsidTr="002D6E7B">
        <w:tc>
          <w:tcPr>
            <w:tcW w:w="6267" w:type="dxa"/>
          </w:tcPr>
          <w:p w14:paraId="18ADB07C"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CQC Fees</w:t>
            </w:r>
          </w:p>
        </w:tc>
        <w:tc>
          <w:tcPr>
            <w:tcW w:w="1701" w:type="dxa"/>
          </w:tcPr>
          <w:p w14:paraId="5A584243"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0.11  (16)</w:t>
            </w:r>
          </w:p>
        </w:tc>
        <w:tc>
          <w:tcPr>
            <w:tcW w:w="1277" w:type="dxa"/>
          </w:tcPr>
          <w:p w14:paraId="06F2ED8B"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0.11  (16)</w:t>
            </w:r>
          </w:p>
        </w:tc>
        <w:tc>
          <w:tcPr>
            <w:tcW w:w="1559" w:type="dxa"/>
          </w:tcPr>
          <w:p w14:paraId="308FA1DF"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color w:val="auto"/>
                <w:sz w:val="20"/>
                <w:szCs w:val="20"/>
                <w:lang w:eastAsia="en-GB"/>
              </w:rPr>
              <w:t>0.14  (16)</w:t>
            </w:r>
          </w:p>
        </w:tc>
      </w:tr>
      <w:tr w:rsidR="00206DB2" w:rsidRPr="00206DB2" w14:paraId="6EFCF249" w14:textId="77777777" w:rsidTr="002D6E7B">
        <w:tc>
          <w:tcPr>
            <w:tcW w:w="6267" w:type="dxa"/>
          </w:tcPr>
          <w:p w14:paraId="2285BC11"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Sub-total Operational Costs</w:t>
            </w:r>
          </w:p>
        </w:tc>
        <w:tc>
          <w:tcPr>
            <w:tcW w:w="1701" w:type="dxa"/>
          </w:tcPr>
          <w:p w14:paraId="7F8CAAE5"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28.69</w:t>
            </w:r>
          </w:p>
        </w:tc>
        <w:tc>
          <w:tcPr>
            <w:tcW w:w="1277" w:type="dxa"/>
          </w:tcPr>
          <w:p w14:paraId="52850169"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24.88</w:t>
            </w:r>
          </w:p>
        </w:tc>
        <w:tc>
          <w:tcPr>
            <w:tcW w:w="1559" w:type="dxa"/>
          </w:tcPr>
          <w:p w14:paraId="5393FA7A" w14:textId="77777777" w:rsidR="00206DB2" w:rsidRPr="00206DB2" w:rsidRDefault="00206DB2" w:rsidP="00206DB2">
            <w:pPr>
              <w:ind w:right="-851"/>
              <w:rPr>
                <w:rFonts w:ascii="Arial" w:hAnsi="Arial" w:cs="Arial"/>
                <w:color w:val="auto"/>
                <w:sz w:val="20"/>
                <w:szCs w:val="20"/>
                <w:lang w:eastAsia="en-GB"/>
              </w:rPr>
            </w:pPr>
            <w:r w:rsidRPr="00206DB2">
              <w:rPr>
                <w:rFonts w:ascii="Arial" w:hAnsi="Arial" w:cs="Arial"/>
                <w:b/>
                <w:bCs/>
                <w:color w:val="auto"/>
                <w:sz w:val="20"/>
                <w:szCs w:val="20"/>
                <w:lang w:eastAsia="en-GB"/>
              </w:rPr>
              <w:t>38.70</w:t>
            </w:r>
          </w:p>
        </w:tc>
      </w:tr>
      <w:tr w:rsidR="00206DB2" w:rsidRPr="00206DB2" w14:paraId="1D4F2C58" w14:textId="77777777" w:rsidTr="002D6E7B">
        <w:tc>
          <w:tcPr>
            <w:tcW w:w="6267" w:type="dxa"/>
          </w:tcPr>
          <w:p w14:paraId="78E7BDCC"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Return on Operations (5% of operating costs)</w:t>
            </w:r>
          </w:p>
        </w:tc>
        <w:tc>
          <w:tcPr>
            <w:tcW w:w="1701" w:type="dxa"/>
          </w:tcPr>
          <w:p w14:paraId="6D692EDF"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1.43</w:t>
            </w:r>
          </w:p>
        </w:tc>
        <w:tc>
          <w:tcPr>
            <w:tcW w:w="1277" w:type="dxa"/>
          </w:tcPr>
          <w:p w14:paraId="77381346"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1.24</w:t>
            </w:r>
          </w:p>
        </w:tc>
        <w:tc>
          <w:tcPr>
            <w:tcW w:w="1559" w:type="dxa"/>
          </w:tcPr>
          <w:p w14:paraId="3D4864C8"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1.94</w:t>
            </w:r>
          </w:p>
        </w:tc>
      </w:tr>
      <w:tr w:rsidR="00206DB2" w:rsidRPr="00206DB2" w14:paraId="1A1B7B8B" w14:textId="77777777" w:rsidTr="002D6E7B">
        <w:tc>
          <w:tcPr>
            <w:tcW w:w="6267" w:type="dxa"/>
            <w:shd w:val="clear" w:color="auto" w:fill="D9D9D9" w:themeFill="background1" w:themeFillShade="D9"/>
          </w:tcPr>
          <w:p w14:paraId="0164DDBA"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lastRenderedPageBreak/>
              <w:t>Total Cost per hour</w:t>
            </w:r>
          </w:p>
        </w:tc>
        <w:tc>
          <w:tcPr>
            <w:tcW w:w="1701" w:type="dxa"/>
            <w:shd w:val="clear" w:color="auto" w:fill="D9D9D9" w:themeFill="background1" w:themeFillShade="D9"/>
          </w:tcPr>
          <w:p w14:paraId="159ACD10"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30.12</w:t>
            </w:r>
          </w:p>
        </w:tc>
        <w:tc>
          <w:tcPr>
            <w:tcW w:w="1277" w:type="dxa"/>
            <w:shd w:val="clear" w:color="auto" w:fill="D9D9D9" w:themeFill="background1" w:themeFillShade="D9"/>
          </w:tcPr>
          <w:p w14:paraId="6EB9A3E5" w14:textId="02086886" w:rsidR="00206DB2" w:rsidRPr="00206DB2" w:rsidRDefault="00206DB2" w:rsidP="00206DB2">
            <w:pPr>
              <w:ind w:right="-851"/>
              <w:rPr>
                <w:rFonts w:ascii="Arial" w:hAnsi="Arial" w:cs="Arial"/>
                <w:b/>
                <w:bCs/>
                <w:color w:val="auto"/>
                <w:sz w:val="20"/>
                <w:szCs w:val="20"/>
                <w:lang w:eastAsia="en-GB"/>
              </w:rPr>
            </w:pPr>
            <w:r w:rsidRPr="0049608B">
              <w:rPr>
                <w:rFonts w:ascii="Arial" w:hAnsi="Arial" w:cs="Arial"/>
                <w:b/>
                <w:bCs/>
                <w:color w:val="auto"/>
                <w:sz w:val="20"/>
                <w:szCs w:val="20"/>
                <w:lang w:eastAsia="en-GB"/>
              </w:rPr>
              <w:t>26.</w:t>
            </w:r>
            <w:r w:rsidR="007F719F" w:rsidRPr="0049608B">
              <w:rPr>
                <w:rFonts w:ascii="Arial" w:hAnsi="Arial" w:cs="Arial"/>
                <w:b/>
                <w:bCs/>
                <w:color w:val="auto"/>
                <w:sz w:val="20"/>
                <w:szCs w:val="20"/>
                <w:lang w:eastAsia="en-GB"/>
              </w:rPr>
              <w:t>15</w:t>
            </w:r>
          </w:p>
        </w:tc>
        <w:tc>
          <w:tcPr>
            <w:tcW w:w="1559" w:type="dxa"/>
            <w:shd w:val="clear" w:color="auto" w:fill="D9D9D9" w:themeFill="background1" w:themeFillShade="D9"/>
          </w:tcPr>
          <w:p w14:paraId="62D17FAA" w14:textId="77777777" w:rsidR="00206DB2" w:rsidRPr="00206DB2" w:rsidRDefault="00206DB2" w:rsidP="00206DB2">
            <w:pPr>
              <w:ind w:right="-851"/>
              <w:rPr>
                <w:rFonts w:ascii="Arial" w:hAnsi="Arial" w:cs="Arial"/>
                <w:b/>
                <w:bCs/>
                <w:color w:val="auto"/>
                <w:sz w:val="20"/>
                <w:szCs w:val="20"/>
                <w:lang w:eastAsia="en-GB"/>
              </w:rPr>
            </w:pPr>
            <w:r w:rsidRPr="00206DB2">
              <w:rPr>
                <w:rFonts w:ascii="Arial" w:hAnsi="Arial" w:cs="Arial"/>
                <w:b/>
                <w:bCs/>
                <w:color w:val="auto"/>
                <w:sz w:val="20"/>
                <w:szCs w:val="20"/>
                <w:lang w:eastAsia="en-GB"/>
              </w:rPr>
              <w:t>40.64</w:t>
            </w:r>
          </w:p>
        </w:tc>
      </w:tr>
      <w:tr w:rsidR="009A1A07" w:rsidRPr="00206DB2" w14:paraId="63BA471B" w14:textId="77777777" w:rsidTr="002D6E7B">
        <w:tc>
          <w:tcPr>
            <w:tcW w:w="6267" w:type="dxa"/>
          </w:tcPr>
          <w:p w14:paraId="48EA8C35" w14:textId="2FEF8D8A" w:rsidR="009A1A07" w:rsidRPr="00206DB2" w:rsidRDefault="009A1A07" w:rsidP="00206DB2">
            <w:pPr>
              <w:spacing w:after="0" w:line="240" w:lineRule="auto"/>
              <w:ind w:right="-851"/>
              <w:rPr>
                <w:rFonts w:ascii="Arial" w:hAnsi="Arial" w:cs="Arial"/>
                <w:color w:val="auto"/>
                <w:lang w:eastAsia="en-GB"/>
              </w:rPr>
            </w:pPr>
            <w:r w:rsidRPr="002D6E7B">
              <w:rPr>
                <w:rFonts w:ascii="Arial" w:hAnsi="Arial" w:cs="Arial"/>
                <w:b/>
                <w:bCs/>
                <w:color w:val="auto"/>
                <w:lang w:eastAsia="en-GB"/>
              </w:rPr>
              <w:t xml:space="preserve">Supporting </w:t>
            </w:r>
            <w:r>
              <w:rPr>
                <w:rFonts w:ascii="Arial" w:hAnsi="Arial" w:cs="Arial"/>
                <w:b/>
                <w:bCs/>
                <w:color w:val="auto"/>
                <w:lang w:eastAsia="en-GB"/>
              </w:rPr>
              <w:t>i</w:t>
            </w:r>
            <w:r w:rsidRPr="002D6E7B">
              <w:rPr>
                <w:rFonts w:ascii="Arial" w:hAnsi="Arial" w:cs="Arial"/>
                <w:b/>
                <w:bCs/>
                <w:color w:val="auto"/>
                <w:lang w:eastAsia="en-GB"/>
              </w:rPr>
              <w:t>nformation on important cost drivers used in calculations:</w:t>
            </w:r>
          </w:p>
        </w:tc>
        <w:tc>
          <w:tcPr>
            <w:tcW w:w="4537" w:type="dxa"/>
            <w:gridSpan w:val="3"/>
          </w:tcPr>
          <w:p w14:paraId="69119CD3" w14:textId="77777777" w:rsidR="009A1A07" w:rsidRPr="00206DB2" w:rsidRDefault="009A1A07" w:rsidP="00206DB2">
            <w:pPr>
              <w:ind w:right="-851"/>
              <w:jc w:val="center"/>
              <w:rPr>
                <w:rFonts w:ascii="Arial" w:hAnsi="Arial" w:cs="Arial"/>
                <w:color w:val="auto"/>
                <w:lang w:eastAsia="en-GB"/>
              </w:rPr>
            </w:pPr>
          </w:p>
        </w:tc>
      </w:tr>
      <w:tr w:rsidR="00206DB2" w:rsidRPr="00206DB2" w14:paraId="5126EFAD" w14:textId="77777777" w:rsidTr="002D6E7B">
        <w:tc>
          <w:tcPr>
            <w:tcW w:w="6267" w:type="dxa"/>
          </w:tcPr>
          <w:p w14:paraId="1325C1F9" w14:textId="77777777" w:rsidR="00206DB2" w:rsidRPr="00206DB2" w:rsidRDefault="00206DB2" w:rsidP="00206DB2">
            <w:pPr>
              <w:spacing w:after="0" w:line="240" w:lineRule="auto"/>
              <w:ind w:right="-851"/>
              <w:rPr>
                <w:rFonts w:ascii="Arial" w:hAnsi="Arial" w:cs="Arial"/>
                <w:color w:val="auto"/>
                <w:lang w:eastAsia="en-GB"/>
              </w:rPr>
            </w:pPr>
            <w:r w:rsidRPr="00206DB2">
              <w:rPr>
                <w:rFonts w:ascii="Arial" w:hAnsi="Arial" w:cs="Arial"/>
                <w:color w:val="auto"/>
                <w:lang w:eastAsia="en-GB"/>
              </w:rPr>
              <w:t>Number of location level survey responses received</w:t>
            </w:r>
          </w:p>
          <w:p w14:paraId="2A8F36F7" w14:textId="77777777" w:rsidR="00206DB2" w:rsidRPr="00206DB2" w:rsidRDefault="00206DB2" w:rsidP="00206DB2">
            <w:pPr>
              <w:spacing w:after="0" w:line="240" w:lineRule="auto"/>
              <w:ind w:right="-851"/>
              <w:rPr>
                <w:rFonts w:ascii="Arial" w:hAnsi="Arial" w:cs="Arial"/>
                <w:b/>
                <w:bCs/>
                <w:color w:val="auto"/>
                <w:lang w:eastAsia="en-GB"/>
              </w:rPr>
            </w:pPr>
            <w:r w:rsidRPr="00206DB2">
              <w:rPr>
                <w:rFonts w:ascii="Arial" w:hAnsi="Arial" w:cs="Arial"/>
                <w:color w:val="auto"/>
                <w:lang w:eastAsia="en-GB"/>
              </w:rPr>
              <w:t>(fully verified)</w:t>
            </w:r>
          </w:p>
        </w:tc>
        <w:tc>
          <w:tcPr>
            <w:tcW w:w="4537" w:type="dxa"/>
            <w:gridSpan w:val="3"/>
          </w:tcPr>
          <w:p w14:paraId="533C737A"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21</w:t>
            </w:r>
          </w:p>
        </w:tc>
      </w:tr>
      <w:tr w:rsidR="00206DB2" w:rsidRPr="00206DB2" w14:paraId="09D2130C" w14:textId="77777777" w:rsidTr="002D6E7B">
        <w:tc>
          <w:tcPr>
            <w:tcW w:w="6267" w:type="dxa"/>
          </w:tcPr>
          <w:p w14:paraId="085F288D" w14:textId="77777777" w:rsidR="002D6E7B" w:rsidRDefault="00206DB2" w:rsidP="00206DB2">
            <w:pPr>
              <w:spacing w:after="0"/>
              <w:ind w:right="-851"/>
              <w:rPr>
                <w:rFonts w:ascii="Arial" w:hAnsi="Arial" w:cs="Arial"/>
                <w:color w:val="auto"/>
                <w:lang w:eastAsia="en-GB"/>
              </w:rPr>
            </w:pPr>
            <w:r w:rsidRPr="00206DB2">
              <w:rPr>
                <w:rFonts w:ascii="Arial" w:hAnsi="Arial" w:cs="Arial"/>
                <w:color w:val="auto"/>
                <w:lang w:eastAsia="en-GB"/>
              </w:rPr>
              <w:t xml:space="preserve">Number of locations eligible to fill in the survey </w:t>
            </w:r>
          </w:p>
          <w:p w14:paraId="5DC5B050" w14:textId="48B5FAB1" w:rsidR="00206DB2" w:rsidRPr="00206DB2" w:rsidRDefault="00206DB2" w:rsidP="00206DB2">
            <w:pPr>
              <w:spacing w:after="0"/>
              <w:ind w:right="-851"/>
              <w:rPr>
                <w:rFonts w:ascii="Arial" w:hAnsi="Arial" w:cs="Arial"/>
                <w:color w:val="auto"/>
                <w:lang w:eastAsia="en-GB"/>
              </w:rPr>
            </w:pPr>
            <w:r w:rsidRPr="00206DB2">
              <w:rPr>
                <w:rFonts w:ascii="Arial" w:hAnsi="Arial" w:cs="Arial"/>
                <w:color w:val="auto"/>
                <w:lang w:eastAsia="en-GB"/>
              </w:rPr>
              <w:t>(excluding those found to be ineligible)</w:t>
            </w:r>
          </w:p>
        </w:tc>
        <w:tc>
          <w:tcPr>
            <w:tcW w:w="4537" w:type="dxa"/>
            <w:gridSpan w:val="3"/>
          </w:tcPr>
          <w:p w14:paraId="0409DF8F"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96</w:t>
            </w:r>
          </w:p>
        </w:tc>
      </w:tr>
      <w:tr w:rsidR="00206DB2" w:rsidRPr="00206DB2" w14:paraId="586B6AB0" w14:textId="77777777" w:rsidTr="002D6E7B">
        <w:tc>
          <w:tcPr>
            <w:tcW w:w="6267" w:type="dxa"/>
          </w:tcPr>
          <w:p w14:paraId="5B315946" w14:textId="77777777" w:rsidR="00206DB2" w:rsidRPr="00206DB2" w:rsidRDefault="00206DB2" w:rsidP="00206DB2">
            <w:pPr>
              <w:ind w:right="-851"/>
              <w:rPr>
                <w:rFonts w:ascii="Arial" w:hAnsi="Arial" w:cs="Arial"/>
                <w:b/>
                <w:bCs/>
                <w:color w:val="auto"/>
                <w:lang w:eastAsia="en-GB"/>
              </w:rPr>
            </w:pPr>
            <w:r w:rsidRPr="00206DB2">
              <w:rPr>
                <w:rFonts w:ascii="Arial" w:hAnsi="Arial" w:cs="Arial"/>
                <w:color w:val="auto"/>
                <w:lang w:eastAsia="en-GB"/>
              </w:rPr>
              <w:t>Carer basic pay per hour</w:t>
            </w:r>
          </w:p>
        </w:tc>
        <w:tc>
          <w:tcPr>
            <w:tcW w:w="4537" w:type="dxa"/>
            <w:gridSpan w:val="3"/>
          </w:tcPr>
          <w:p w14:paraId="0F3AA8D3"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11.69</w:t>
            </w:r>
          </w:p>
        </w:tc>
      </w:tr>
      <w:tr w:rsidR="00206DB2" w:rsidRPr="00206DB2" w14:paraId="1CC4030F" w14:textId="77777777" w:rsidTr="002D6E7B">
        <w:tc>
          <w:tcPr>
            <w:tcW w:w="6267" w:type="dxa"/>
          </w:tcPr>
          <w:p w14:paraId="2BE8B915" w14:textId="77777777" w:rsidR="00206DB2" w:rsidRPr="00206DB2" w:rsidRDefault="00206DB2" w:rsidP="00206DB2">
            <w:pPr>
              <w:ind w:right="-851"/>
              <w:rPr>
                <w:rFonts w:ascii="Arial" w:hAnsi="Arial" w:cs="Arial"/>
                <w:b/>
                <w:bCs/>
                <w:color w:val="auto"/>
                <w:lang w:eastAsia="en-GB"/>
              </w:rPr>
            </w:pPr>
            <w:r w:rsidRPr="00206DB2">
              <w:rPr>
                <w:rFonts w:ascii="Arial" w:hAnsi="Arial" w:cs="Arial"/>
                <w:color w:val="auto"/>
                <w:lang w:eastAsia="en-GB"/>
              </w:rPr>
              <w:t>Minutes of travel per contact hour</w:t>
            </w:r>
          </w:p>
        </w:tc>
        <w:tc>
          <w:tcPr>
            <w:tcW w:w="4537" w:type="dxa"/>
            <w:gridSpan w:val="3"/>
          </w:tcPr>
          <w:p w14:paraId="1A1117A0"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13</w:t>
            </w:r>
          </w:p>
        </w:tc>
      </w:tr>
      <w:tr w:rsidR="00206DB2" w:rsidRPr="00206DB2" w14:paraId="6798879A" w14:textId="77777777" w:rsidTr="002D6E7B">
        <w:tc>
          <w:tcPr>
            <w:tcW w:w="6267" w:type="dxa"/>
          </w:tcPr>
          <w:p w14:paraId="26B61730" w14:textId="77777777" w:rsidR="00206DB2" w:rsidRPr="00206DB2" w:rsidRDefault="00206DB2" w:rsidP="00206DB2">
            <w:pPr>
              <w:ind w:right="-851"/>
              <w:rPr>
                <w:rFonts w:ascii="Arial" w:hAnsi="Arial" w:cs="Arial"/>
                <w:b/>
                <w:bCs/>
                <w:color w:val="auto"/>
                <w:lang w:eastAsia="en-GB"/>
              </w:rPr>
            </w:pPr>
            <w:r w:rsidRPr="00206DB2">
              <w:rPr>
                <w:rFonts w:ascii="Arial" w:hAnsi="Arial" w:cs="Arial"/>
                <w:color w:val="auto"/>
                <w:lang w:eastAsia="en-GB"/>
              </w:rPr>
              <w:t>Mileage payment per mile</w:t>
            </w:r>
          </w:p>
        </w:tc>
        <w:tc>
          <w:tcPr>
            <w:tcW w:w="4537" w:type="dxa"/>
            <w:gridSpan w:val="3"/>
          </w:tcPr>
          <w:p w14:paraId="32A463E1"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0.40</w:t>
            </w:r>
          </w:p>
        </w:tc>
      </w:tr>
      <w:tr w:rsidR="00206DB2" w:rsidRPr="00206DB2" w14:paraId="5DF773DA" w14:textId="77777777" w:rsidTr="002D6E7B">
        <w:trPr>
          <w:trHeight w:val="532"/>
        </w:trPr>
        <w:tc>
          <w:tcPr>
            <w:tcW w:w="6267" w:type="dxa"/>
          </w:tcPr>
          <w:p w14:paraId="6197091E" w14:textId="77777777" w:rsidR="00206DB2" w:rsidRPr="00206DB2" w:rsidRDefault="00206DB2" w:rsidP="00206DB2">
            <w:pPr>
              <w:ind w:right="-851"/>
              <w:jc w:val="both"/>
              <w:rPr>
                <w:rFonts w:ascii="Arial" w:hAnsi="Arial" w:cs="Arial"/>
                <w:color w:val="auto"/>
                <w:lang w:eastAsia="en-GB"/>
              </w:rPr>
            </w:pPr>
            <w:r w:rsidRPr="00206DB2">
              <w:rPr>
                <w:rFonts w:ascii="Arial" w:hAnsi="Arial" w:cs="Arial"/>
                <w:color w:val="auto"/>
                <w:lang w:eastAsia="en-GB"/>
              </w:rPr>
              <w:t>Total direct care hours per annum</w:t>
            </w:r>
          </w:p>
        </w:tc>
        <w:tc>
          <w:tcPr>
            <w:tcW w:w="4537" w:type="dxa"/>
            <w:gridSpan w:val="3"/>
          </w:tcPr>
          <w:p w14:paraId="7A45AC7F" w14:textId="77777777" w:rsidR="00206DB2" w:rsidRPr="00206DB2" w:rsidRDefault="00206DB2" w:rsidP="00206DB2">
            <w:pPr>
              <w:ind w:right="-851"/>
              <w:jc w:val="center"/>
              <w:rPr>
                <w:rFonts w:ascii="Arial" w:hAnsi="Arial" w:cs="Arial"/>
                <w:b/>
                <w:bCs/>
                <w:color w:val="auto"/>
                <w:lang w:eastAsia="en-GB"/>
              </w:rPr>
            </w:pPr>
            <w:r w:rsidRPr="00206DB2">
              <w:rPr>
                <w:rFonts w:ascii="Arial" w:hAnsi="Arial" w:cs="Arial"/>
                <w:color w:val="auto"/>
                <w:lang w:eastAsia="en-GB"/>
              </w:rPr>
              <w:t>526,542</w:t>
            </w:r>
          </w:p>
        </w:tc>
      </w:tr>
    </w:tbl>
    <w:p w14:paraId="0548901C" w14:textId="20A9A2E5" w:rsidR="00206DB2" w:rsidRDefault="00206DB2" w:rsidP="00020C5C">
      <w:pPr>
        <w:spacing w:line="240" w:lineRule="auto"/>
        <w:ind w:right="-851"/>
        <w:rPr>
          <w:rFonts w:ascii="Arial" w:hAnsi="Arial" w:cs="Arial"/>
          <w:sz w:val="18"/>
          <w:szCs w:val="18"/>
        </w:rPr>
      </w:pPr>
      <w:r w:rsidRPr="00020C5C">
        <w:rPr>
          <w:rFonts w:ascii="Arial" w:hAnsi="Arial" w:cs="Arial"/>
          <w:sz w:val="18"/>
          <w:szCs w:val="18"/>
        </w:rPr>
        <w:t>Notes:</w:t>
      </w:r>
      <w:r w:rsidR="006D4E3D" w:rsidRPr="00020C5C">
        <w:rPr>
          <w:rFonts w:ascii="Arial" w:hAnsi="Arial" w:cs="Arial"/>
          <w:sz w:val="18"/>
          <w:szCs w:val="18"/>
        </w:rPr>
        <w:t xml:space="preserve"> </w:t>
      </w:r>
      <w:r w:rsidRPr="00020C5C">
        <w:rPr>
          <w:rFonts w:ascii="Arial" w:hAnsi="Arial" w:cs="Arial"/>
          <w:sz w:val="18"/>
          <w:szCs w:val="18"/>
        </w:rPr>
        <w:t>All data are derived from toolkit responses except for return on operations, which has been superseded by the council based on a benchmark rate of 5% of operating costs.</w:t>
      </w:r>
    </w:p>
    <w:p w14:paraId="26DAF9A5" w14:textId="77777777" w:rsidR="00020C5C" w:rsidRPr="00020C5C" w:rsidRDefault="00020C5C" w:rsidP="00020C5C">
      <w:pPr>
        <w:spacing w:after="0" w:line="240" w:lineRule="auto"/>
        <w:ind w:right="-851"/>
        <w:rPr>
          <w:rFonts w:ascii="Arial" w:hAnsi="Arial" w:cs="Arial"/>
          <w:sz w:val="18"/>
          <w:szCs w:val="18"/>
        </w:rPr>
      </w:pPr>
    </w:p>
    <w:p w14:paraId="4BCD46BB" w14:textId="77777777" w:rsidR="00206DB2" w:rsidRPr="006D4E3D" w:rsidRDefault="00206DB2" w:rsidP="00206DB2">
      <w:pPr>
        <w:ind w:right="-851"/>
        <w:rPr>
          <w:rFonts w:ascii="Arial" w:hAnsi="Arial" w:cs="Arial"/>
        </w:rPr>
      </w:pPr>
      <w:r w:rsidRPr="006D4E3D">
        <w:rPr>
          <w:rFonts w:ascii="Arial" w:hAnsi="Arial" w:cs="Arial"/>
        </w:rPr>
        <w:t>2.8.1 Supplementary information from homecare toolkits</w:t>
      </w:r>
    </w:p>
    <w:p w14:paraId="1D1F557E" w14:textId="77777777" w:rsidR="00206DB2" w:rsidRPr="00206DB2" w:rsidRDefault="00206DB2" w:rsidP="00206DB2">
      <w:pPr>
        <w:ind w:right="-851"/>
        <w:rPr>
          <w:rFonts w:ascii="Arial" w:hAnsi="Arial" w:cs="Arial"/>
          <w:sz w:val="20"/>
          <w:szCs w:val="20"/>
        </w:rPr>
      </w:pPr>
      <w:r w:rsidRPr="00206DB2">
        <w:rPr>
          <w:rFonts w:ascii="Arial" w:hAnsi="Arial" w:cs="Arial"/>
          <w:sz w:val="20"/>
          <w:szCs w:val="20"/>
        </w:rPr>
        <w:t>DHSC guidance requires supplementary information on the number of appointments per week by visit length, direct care costs by visit length and travel costs per visit. The information is presented in Tables 4 and 5.</w:t>
      </w:r>
    </w:p>
    <w:p w14:paraId="561F8948" w14:textId="77777777" w:rsidR="00206DB2" w:rsidRPr="00206DB2" w:rsidRDefault="00206DB2" w:rsidP="00206DB2">
      <w:pPr>
        <w:ind w:right="-851"/>
        <w:rPr>
          <w:rFonts w:ascii="Arial" w:hAnsi="Arial" w:cs="Arial"/>
          <w:sz w:val="20"/>
          <w:szCs w:val="20"/>
        </w:rPr>
      </w:pPr>
      <w:r w:rsidRPr="00206DB2">
        <w:rPr>
          <w:rFonts w:ascii="Arial" w:hAnsi="Arial" w:cs="Arial"/>
          <w:b/>
          <w:bCs/>
          <w:sz w:val="20"/>
          <w:szCs w:val="20"/>
        </w:rPr>
        <w:t>Table 4</w:t>
      </w:r>
      <w:r w:rsidRPr="00206DB2">
        <w:rPr>
          <w:rFonts w:ascii="Arial" w:hAnsi="Arial" w:cs="Arial"/>
          <w:sz w:val="20"/>
          <w:szCs w:val="20"/>
        </w:rPr>
        <w:t xml:space="preserve"> </w:t>
      </w:r>
      <w:r w:rsidRPr="00206DB2">
        <w:rPr>
          <w:rFonts w:ascii="Arial" w:hAnsi="Arial" w:cs="Arial"/>
          <w:b/>
          <w:bCs/>
          <w:sz w:val="20"/>
          <w:szCs w:val="20"/>
        </w:rPr>
        <w:t>Number of domiciliary care appointments per service per week by length of visit</w:t>
      </w:r>
    </w:p>
    <w:tbl>
      <w:tblPr>
        <w:tblStyle w:val="TableGrid3"/>
        <w:tblW w:w="0" w:type="auto"/>
        <w:jc w:val="center"/>
        <w:tblLook w:val="04A0" w:firstRow="1" w:lastRow="0" w:firstColumn="1" w:lastColumn="0" w:noHBand="0" w:noVBand="1"/>
      </w:tblPr>
      <w:tblGrid>
        <w:gridCol w:w="1848"/>
        <w:gridCol w:w="1848"/>
        <w:gridCol w:w="1848"/>
        <w:gridCol w:w="1849"/>
      </w:tblGrid>
      <w:tr w:rsidR="00206DB2" w:rsidRPr="00206DB2" w14:paraId="2849D07E" w14:textId="77777777" w:rsidTr="0002146F">
        <w:trPr>
          <w:jc w:val="center"/>
        </w:trPr>
        <w:tc>
          <w:tcPr>
            <w:tcW w:w="1848" w:type="dxa"/>
          </w:tcPr>
          <w:p w14:paraId="12E26613"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Visit Length</w:t>
            </w:r>
          </w:p>
        </w:tc>
        <w:tc>
          <w:tcPr>
            <w:tcW w:w="1848" w:type="dxa"/>
          </w:tcPr>
          <w:p w14:paraId="1272B55B"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Median</w:t>
            </w:r>
          </w:p>
        </w:tc>
        <w:tc>
          <w:tcPr>
            <w:tcW w:w="1848" w:type="dxa"/>
          </w:tcPr>
          <w:p w14:paraId="55A41E5A"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1st Quartile</w:t>
            </w:r>
          </w:p>
        </w:tc>
        <w:tc>
          <w:tcPr>
            <w:tcW w:w="1849" w:type="dxa"/>
          </w:tcPr>
          <w:p w14:paraId="142D48AD"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3rd Quartile</w:t>
            </w:r>
          </w:p>
        </w:tc>
      </w:tr>
      <w:tr w:rsidR="00206DB2" w:rsidRPr="00206DB2" w14:paraId="67BEBA84" w14:textId="77777777" w:rsidTr="0002146F">
        <w:trPr>
          <w:jc w:val="center"/>
        </w:trPr>
        <w:tc>
          <w:tcPr>
            <w:tcW w:w="1848" w:type="dxa"/>
          </w:tcPr>
          <w:p w14:paraId="32D03BBB"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15 minutes</w:t>
            </w:r>
          </w:p>
        </w:tc>
        <w:tc>
          <w:tcPr>
            <w:tcW w:w="1848" w:type="dxa"/>
          </w:tcPr>
          <w:p w14:paraId="7990331F"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49</w:t>
            </w:r>
          </w:p>
        </w:tc>
        <w:tc>
          <w:tcPr>
            <w:tcW w:w="1848" w:type="dxa"/>
          </w:tcPr>
          <w:p w14:paraId="2C062353"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36</w:t>
            </w:r>
          </w:p>
        </w:tc>
        <w:tc>
          <w:tcPr>
            <w:tcW w:w="1849" w:type="dxa"/>
          </w:tcPr>
          <w:p w14:paraId="0285F2C2"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65</w:t>
            </w:r>
          </w:p>
        </w:tc>
      </w:tr>
      <w:tr w:rsidR="00206DB2" w:rsidRPr="00206DB2" w14:paraId="52CB11F4" w14:textId="77777777" w:rsidTr="0002146F">
        <w:trPr>
          <w:jc w:val="center"/>
        </w:trPr>
        <w:tc>
          <w:tcPr>
            <w:tcW w:w="1848" w:type="dxa"/>
          </w:tcPr>
          <w:p w14:paraId="1B064315"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30 minutes</w:t>
            </w:r>
          </w:p>
        </w:tc>
        <w:tc>
          <w:tcPr>
            <w:tcW w:w="1848" w:type="dxa"/>
          </w:tcPr>
          <w:p w14:paraId="5A48410A"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460</w:t>
            </w:r>
          </w:p>
        </w:tc>
        <w:tc>
          <w:tcPr>
            <w:tcW w:w="1848" w:type="dxa"/>
          </w:tcPr>
          <w:p w14:paraId="20F3F041"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254</w:t>
            </w:r>
          </w:p>
        </w:tc>
        <w:tc>
          <w:tcPr>
            <w:tcW w:w="1849" w:type="dxa"/>
          </w:tcPr>
          <w:p w14:paraId="4954BC5D"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852</w:t>
            </w:r>
          </w:p>
        </w:tc>
      </w:tr>
      <w:tr w:rsidR="00206DB2" w:rsidRPr="00206DB2" w14:paraId="1E708B96" w14:textId="77777777" w:rsidTr="0002146F">
        <w:trPr>
          <w:jc w:val="center"/>
        </w:trPr>
        <w:tc>
          <w:tcPr>
            <w:tcW w:w="1848" w:type="dxa"/>
          </w:tcPr>
          <w:p w14:paraId="537C9322"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45 minutes</w:t>
            </w:r>
          </w:p>
        </w:tc>
        <w:tc>
          <w:tcPr>
            <w:tcW w:w="1848" w:type="dxa"/>
          </w:tcPr>
          <w:p w14:paraId="6D2562DB"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152</w:t>
            </w:r>
          </w:p>
        </w:tc>
        <w:tc>
          <w:tcPr>
            <w:tcW w:w="1848" w:type="dxa"/>
          </w:tcPr>
          <w:p w14:paraId="4E4E4DCA"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65</w:t>
            </w:r>
          </w:p>
        </w:tc>
        <w:tc>
          <w:tcPr>
            <w:tcW w:w="1849" w:type="dxa"/>
          </w:tcPr>
          <w:p w14:paraId="2D0B1D52"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196</w:t>
            </w:r>
          </w:p>
        </w:tc>
      </w:tr>
      <w:tr w:rsidR="00206DB2" w:rsidRPr="00206DB2" w14:paraId="48B6C051" w14:textId="77777777" w:rsidTr="0002146F">
        <w:trPr>
          <w:jc w:val="center"/>
        </w:trPr>
        <w:tc>
          <w:tcPr>
            <w:tcW w:w="1848" w:type="dxa"/>
          </w:tcPr>
          <w:p w14:paraId="5EA7C731" w14:textId="77777777" w:rsidR="00206DB2" w:rsidRPr="00206DB2" w:rsidRDefault="00206DB2" w:rsidP="00206DB2">
            <w:pPr>
              <w:ind w:right="-851"/>
              <w:rPr>
                <w:rFonts w:ascii="Arial" w:hAnsi="Arial" w:cs="Arial"/>
                <w:sz w:val="18"/>
                <w:szCs w:val="18"/>
              </w:rPr>
            </w:pPr>
            <w:r w:rsidRPr="00206DB2">
              <w:rPr>
                <w:rFonts w:ascii="Arial" w:hAnsi="Arial" w:cs="Arial"/>
                <w:sz w:val="18"/>
                <w:szCs w:val="18"/>
              </w:rPr>
              <w:t>60 minutes</w:t>
            </w:r>
          </w:p>
        </w:tc>
        <w:tc>
          <w:tcPr>
            <w:tcW w:w="1848" w:type="dxa"/>
          </w:tcPr>
          <w:p w14:paraId="65918A80"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74</w:t>
            </w:r>
          </w:p>
        </w:tc>
        <w:tc>
          <w:tcPr>
            <w:tcW w:w="1848" w:type="dxa"/>
          </w:tcPr>
          <w:p w14:paraId="1B7B3954"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23</w:t>
            </w:r>
          </w:p>
        </w:tc>
        <w:tc>
          <w:tcPr>
            <w:tcW w:w="1849" w:type="dxa"/>
          </w:tcPr>
          <w:p w14:paraId="61530369" w14:textId="77777777" w:rsidR="00206DB2" w:rsidRPr="00206DB2" w:rsidRDefault="00206DB2" w:rsidP="00206DB2">
            <w:pPr>
              <w:ind w:right="-851"/>
              <w:jc w:val="center"/>
              <w:rPr>
                <w:rFonts w:ascii="Arial" w:hAnsi="Arial" w:cs="Arial"/>
                <w:sz w:val="18"/>
                <w:szCs w:val="18"/>
              </w:rPr>
            </w:pPr>
            <w:r w:rsidRPr="00206DB2">
              <w:rPr>
                <w:rFonts w:ascii="Arial" w:hAnsi="Arial" w:cs="Arial"/>
                <w:sz w:val="18"/>
                <w:szCs w:val="18"/>
              </w:rPr>
              <w:t>214</w:t>
            </w:r>
          </w:p>
        </w:tc>
      </w:tr>
    </w:tbl>
    <w:p w14:paraId="0EDBC0E6" w14:textId="418C8069" w:rsidR="007E48F2" w:rsidRPr="007E48F2" w:rsidRDefault="00206DB2" w:rsidP="00206DB2">
      <w:pPr>
        <w:ind w:right="-851"/>
        <w:rPr>
          <w:rFonts w:ascii="Arial" w:hAnsi="Arial" w:cs="Arial"/>
          <w:sz w:val="18"/>
          <w:szCs w:val="18"/>
        </w:rPr>
      </w:pPr>
      <w:r w:rsidRPr="00206DB2">
        <w:rPr>
          <w:rFonts w:ascii="Arial" w:hAnsi="Arial" w:cs="Arial"/>
          <w:sz w:val="20"/>
          <w:szCs w:val="20"/>
        </w:rPr>
        <w:tab/>
      </w:r>
      <w:r w:rsidRPr="00206DB2">
        <w:rPr>
          <w:rFonts w:ascii="Arial" w:hAnsi="Arial" w:cs="Arial"/>
          <w:sz w:val="20"/>
          <w:szCs w:val="20"/>
        </w:rPr>
        <w:tab/>
      </w:r>
      <w:r w:rsidRPr="00206DB2">
        <w:rPr>
          <w:rFonts w:ascii="Arial" w:hAnsi="Arial" w:cs="Arial"/>
          <w:sz w:val="18"/>
          <w:szCs w:val="18"/>
        </w:rPr>
        <w:t>Note: Values are rounded to whole numbers.</w:t>
      </w:r>
    </w:p>
    <w:p w14:paraId="68A9F9A2" w14:textId="77777777" w:rsidR="00206DB2" w:rsidRPr="00206DB2" w:rsidRDefault="00206DB2" w:rsidP="00206DB2">
      <w:pPr>
        <w:ind w:right="-851"/>
        <w:rPr>
          <w:rFonts w:ascii="Arial" w:hAnsi="Arial" w:cs="Arial"/>
          <w:b/>
          <w:bCs/>
          <w:sz w:val="20"/>
          <w:szCs w:val="20"/>
        </w:rPr>
      </w:pPr>
      <w:bookmarkStart w:id="47" w:name="_Hlk116055421"/>
      <w:r w:rsidRPr="00206DB2">
        <w:rPr>
          <w:rFonts w:ascii="Arial" w:hAnsi="Arial" w:cs="Arial"/>
          <w:b/>
          <w:bCs/>
          <w:sz w:val="20"/>
          <w:szCs w:val="20"/>
        </w:rPr>
        <w:t>Table 5</w:t>
      </w:r>
      <w:r w:rsidRPr="00206DB2">
        <w:rPr>
          <w:rFonts w:ascii="Arial" w:hAnsi="Arial" w:cs="Arial"/>
          <w:sz w:val="20"/>
          <w:szCs w:val="20"/>
        </w:rPr>
        <w:t xml:space="preserve"> </w:t>
      </w:r>
      <w:r w:rsidRPr="00206DB2">
        <w:rPr>
          <w:rFonts w:ascii="Arial" w:hAnsi="Arial" w:cs="Arial"/>
          <w:b/>
          <w:bCs/>
          <w:sz w:val="20"/>
          <w:szCs w:val="20"/>
        </w:rPr>
        <w:t xml:space="preserve">Direct care and mileage cost per visit-by-visit length </w:t>
      </w:r>
    </w:p>
    <w:tbl>
      <w:tblPr>
        <w:tblStyle w:val="TableGrid"/>
        <w:tblW w:w="5651" w:type="dxa"/>
        <w:jc w:val="center"/>
        <w:tblLook w:val="04A0" w:firstRow="1" w:lastRow="0" w:firstColumn="1" w:lastColumn="0" w:noHBand="0" w:noVBand="1"/>
      </w:tblPr>
      <w:tblGrid>
        <w:gridCol w:w="1315"/>
        <w:gridCol w:w="2264"/>
        <w:gridCol w:w="2072"/>
      </w:tblGrid>
      <w:tr w:rsidR="00206DB2" w:rsidRPr="00206DB2" w14:paraId="001DC6E7" w14:textId="77777777" w:rsidTr="00C5346A">
        <w:trPr>
          <w:trHeight w:val="257"/>
          <w:jc w:val="center"/>
        </w:trPr>
        <w:tc>
          <w:tcPr>
            <w:tcW w:w="1315" w:type="dxa"/>
            <w:hideMark/>
          </w:tcPr>
          <w:bookmarkEnd w:id="47"/>
          <w:p w14:paraId="5BDA9829"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Visit Length</w:t>
            </w:r>
          </w:p>
        </w:tc>
        <w:tc>
          <w:tcPr>
            <w:tcW w:w="2264" w:type="dxa"/>
            <w:hideMark/>
          </w:tcPr>
          <w:p w14:paraId="6C0C54B4" w14:textId="77777777" w:rsidR="00206DB2" w:rsidRPr="00206DB2" w:rsidRDefault="00206DB2" w:rsidP="00206DB2">
            <w:pPr>
              <w:spacing w:line="240" w:lineRule="auto"/>
              <w:ind w:right="-851"/>
              <w:jc w:val="center"/>
              <w:rPr>
                <w:rFonts w:ascii="Arial" w:hAnsi="Arial" w:cs="Arial"/>
                <w:sz w:val="18"/>
                <w:szCs w:val="18"/>
              </w:rPr>
            </w:pPr>
            <w:r w:rsidRPr="00206DB2">
              <w:rPr>
                <w:rFonts w:ascii="Arial" w:hAnsi="Arial" w:cs="Arial"/>
                <w:color w:val="000000"/>
                <w:sz w:val="18"/>
                <w:szCs w:val="18"/>
              </w:rPr>
              <w:t>Average Cost</w:t>
            </w:r>
          </w:p>
        </w:tc>
        <w:tc>
          <w:tcPr>
            <w:tcW w:w="2072" w:type="dxa"/>
            <w:hideMark/>
          </w:tcPr>
          <w:p w14:paraId="301A683D" w14:textId="77777777" w:rsidR="00206DB2" w:rsidRPr="00206DB2" w:rsidRDefault="00206DB2" w:rsidP="00206DB2">
            <w:pPr>
              <w:spacing w:line="240" w:lineRule="auto"/>
              <w:ind w:right="-851"/>
              <w:jc w:val="center"/>
              <w:rPr>
                <w:rFonts w:ascii="Arial" w:hAnsi="Arial" w:cs="Arial"/>
                <w:sz w:val="18"/>
                <w:szCs w:val="18"/>
              </w:rPr>
            </w:pPr>
            <w:r w:rsidRPr="00206DB2">
              <w:rPr>
                <w:rFonts w:ascii="Arial" w:hAnsi="Arial" w:cs="Arial"/>
                <w:color w:val="000000"/>
                <w:sz w:val="18"/>
                <w:szCs w:val="18"/>
              </w:rPr>
              <w:t>Median Cost</w:t>
            </w:r>
          </w:p>
        </w:tc>
      </w:tr>
      <w:tr w:rsidR="00206DB2" w:rsidRPr="00206DB2" w14:paraId="44FE3C59" w14:textId="77777777" w:rsidTr="00C5346A">
        <w:trPr>
          <w:trHeight w:val="244"/>
          <w:jc w:val="center"/>
        </w:trPr>
        <w:tc>
          <w:tcPr>
            <w:tcW w:w="1315" w:type="dxa"/>
            <w:hideMark/>
          </w:tcPr>
          <w:p w14:paraId="11643E20"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 </w:t>
            </w:r>
          </w:p>
        </w:tc>
        <w:tc>
          <w:tcPr>
            <w:tcW w:w="2264" w:type="dxa"/>
            <w:hideMark/>
          </w:tcPr>
          <w:p w14:paraId="4DAFF990" w14:textId="77777777" w:rsidR="00206DB2" w:rsidRPr="00206DB2" w:rsidRDefault="00206DB2" w:rsidP="00206DB2">
            <w:pPr>
              <w:spacing w:line="240" w:lineRule="auto"/>
              <w:ind w:right="-851"/>
              <w:jc w:val="center"/>
              <w:rPr>
                <w:rFonts w:ascii="Arial" w:hAnsi="Arial" w:cs="Arial"/>
                <w:sz w:val="18"/>
                <w:szCs w:val="18"/>
              </w:rPr>
            </w:pPr>
            <w:r w:rsidRPr="00206DB2">
              <w:rPr>
                <w:rFonts w:ascii="Arial" w:hAnsi="Arial" w:cs="Arial"/>
                <w:color w:val="000000"/>
                <w:sz w:val="18"/>
                <w:szCs w:val="18"/>
              </w:rPr>
              <w:t>£</w:t>
            </w:r>
          </w:p>
        </w:tc>
        <w:tc>
          <w:tcPr>
            <w:tcW w:w="2072" w:type="dxa"/>
            <w:hideMark/>
          </w:tcPr>
          <w:p w14:paraId="7305EA66" w14:textId="77777777" w:rsidR="00206DB2" w:rsidRPr="00206DB2" w:rsidRDefault="00206DB2" w:rsidP="00206DB2">
            <w:pPr>
              <w:spacing w:line="240" w:lineRule="auto"/>
              <w:ind w:right="-851"/>
              <w:jc w:val="center"/>
              <w:rPr>
                <w:rFonts w:ascii="Arial" w:hAnsi="Arial" w:cs="Arial"/>
                <w:sz w:val="18"/>
                <w:szCs w:val="18"/>
              </w:rPr>
            </w:pPr>
            <w:r w:rsidRPr="00206DB2">
              <w:rPr>
                <w:rFonts w:ascii="Arial" w:hAnsi="Arial" w:cs="Arial"/>
                <w:color w:val="000000"/>
                <w:sz w:val="18"/>
                <w:szCs w:val="18"/>
              </w:rPr>
              <w:t>£</w:t>
            </w:r>
          </w:p>
        </w:tc>
      </w:tr>
      <w:tr w:rsidR="00206DB2" w:rsidRPr="00206DB2" w14:paraId="566FE339" w14:textId="77777777" w:rsidTr="00C5346A">
        <w:trPr>
          <w:trHeight w:val="269"/>
          <w:jc w:val="center"/>
        </w:trPr>
        <w:tc>
          <w:tcPr>
            <w:tcW w:w="1315" w:type="dxa"/>
            <w:hideMark/>
          </w:tcPr>
          <w:p w14:paraId="685DEE62"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15 minutes</w:t>
            </w:r>
          </w:p>
        </w:tc>
        <w:tc>
          <w:tcPr>
            <w:tcW w:w="2264" w:type="dxa"/>
            <w:hideMark/>
          </w:tcPr>
          <w:p w14:paraId="768F0D73"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9.03</w:t>
            </w:r>
          </w:p>
        </w:tc>
        <w:tc>
          <w:tcPr>
            <w:tcW w:w="2072" w:type="dxa"/>
            <w:hideMark/>
          </w:tcPr>
          <w:p w14:paraId="6903EB89"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8.68</w:t>
            </w:r>
          </w:p>
        </w:tc>
      </w:tr>
      <w:tr w:rsidR="00206DB2" w:rsidRPr="00206DB2" w14:paraId="1FD3FEAF" w14:textId="77777777" w:rsidTr="00C5346A">
        <w:trPr>
          <w:trHeight w:val="257"/>
          <w:jc w:val="center"/>
        </w:trPr>
        <w:tc>
          <w:tcPr>
            <w:tcW w:w="1315" w:type="dxa"/>
            <w:hideMark/>
          </w:tcPr>
          <w:p w14:paraId="1D6CF699"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30 minutes</w:t>
            </w:r>
          </w:p>
        </w:tc>
        <w:tc>
          <w:tcPr>
            <w:tcW w:w="2264" w:type="dxa"/>
            <w:hideMark/>
          </w:tcPr>
          <w:p w14:paraId="783D0CD7"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16.49</w:t>
            </w:r>
          </w:p>
        </w:tc>
        <w:tc>
          <w:tcPr>
            <w:tcW w:w="2072" w:type="dxa"/>
            <w:hideMark/>
          </w:tcPr>
          <w:p w14:paraId="59229C53"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15.79</w:t>
            </w:r>
          </w:p>
        </w:tc>
      </w:tr>
      <w:tr w:rsidR="00206DB2" w:rsidRPr="00206DB2" w14:paraId="73FAEBDE" w14:textId="77777777" w:rsidTr="00C5346A">
        <w:trPr>
          <w:trHeight w:val="257"/>
          <w:jc w:val="center"/>
        </w:trPr>
        <w:tc>
          <w:tcPr>
            <w:tcW w:w="1315" w:type="dxa"/>
            <w:hideMark/>
          </w:tcPr>
          <w:p w14:paraId="22DE53F2"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45 minutes</w:t>
            </w:r>
          </w:p>
        </w:tc>
        <w:tc>
          <w:tcPr>
            <w:tcW w:w="2264" w:type="dxa"/>
            <w:hideMark/>
          </w:tcPr>
          <w:p w14:paraId="4647329F"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23.95</w:t>
            </w:r>
          </w:p>
        </w:tc>
        <w:tc>
          <w:tcPr>
            <w:tcW w:w="2072" w:type="dxa"/>
            <w:hideMark/>
          </w:tcPr>
          <w:p w14:paraId="346DD115"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22.91</w:t>
            </w:r>
          </w:p>
        </w:tc>
      </w:tr>
      <w:tr w:rsidR="00206DB2" w:rsidRPr="00206DB2" w14:paraId="77DC9D70" w14:textId="77777777" w:rsidTr="00C5346A">
        <w:trPr>
          <w:trHeight w:val="257"/>
          <w:jc w:val="center"/>
        </w:trPr>
        <w:tc>
          <w:tcPr>
            <w:tcW w:w="1315" w:type="dxa"/>
            <w:hideMark/>
          </w:tcPr>
          <w:p w14:paraId="7C378A4C" w14:textId="77777777" w:rsidR="00206DB2" w:rsidRPr="00206DB2" w:rsidRDefault="00206DB2" w:rsidP="00206DB2">
            <w:pPr>
              <w:spacing w:line="240" w:lineRule="auto"/>
              <w:ind w:right="-851"/>
              <w:rPr>
                <w:rFonts w:ascii="Arial" w:hAnsi="Arial" w:cs="Arial"/>
                <w:sz w:val="18"/>
                <w:szCs w:val="18"/>
              </w:rPr>
            </w:pPr>
            <w:r w:rsidRPr="00206DB2">
              <w:rPr>
                <w:rFonts w:ascii="Arial" w:hAnsi="Arial" w:cs="Arial"/>
                <w:color w:val="000000"/>
                <w:sz w:val="18"/>
                <w:szCs w:val="18"/>
              </w:rPr>
              <w:t>60 minutes</w:t>
            </w:r>
          </w:p>
        </w:tc>
        <w:tc>
          <w:tcPr>
            <w:tcW w:w="2264" w:type="dxa"/>
            <w:hideMark/>
          </w:tcPr>
          <w:p w14:paraId="79C1801D"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31.41</w:t>
            </w:r>
          </w:p>
        </w:tc>
        <w:tc>
          <w:tcPr>
            <w:tcW w:w="2072" w:type="dxa"/>
            <w:hideMark/>
          </w:tcPr>
          <w:p w14:paraId="0F5CD824" w14:textId="77777777" w:rsidR="00206DB2" w:rsidRPr="00206DB2" w:rsidRDefault="00206DB2" w:rsidP="00206DB2">
            <w:pPr>
              <w:spacing w:line="240" w:lineRule="auto"/>
              <w:ind w:right="-851"/>
              <w:jc w:val="center"/>
              <w:rPr>
                <w:rFonts w:ascii="Arial" w:hAnsi="Arial" w:cs="Arial"/>
                <w:sz w:val="20"/>
                <w:szCs w:val="20"/>
              </w:rPr>
            </w:pPr>
            <w:r w:rsidRPr="00206DB2">
              <w:rPr>
                <w:rFonts w:ascii="Arial" w:hAnsi="Arial" w:cs="Arial"/>
                <w:sz w:val="20"/>
                <w:szCs w:val="20"/>
              </w:rPr>
              <w:t>30.03</w:t>
            </w:r>
          </w:p>
        </w:tc>
      </w:tr>
    </w:tbl>
    <w:p w14:paraId="6C9E1930" w14:textId="77777777" w:rsidR="006D4E3D" w:rsidRDefault="006D4E3D" w:rsidP="00206DB2">
      <w:pPr>
        <w:ind w:right="-851"/>
        <w:rPr>
          <w:rFonts w:ascii="Arial" w:hAnsi="Arial" w:cs="Arial"/>
        </w:rPr>
      </w:pPr>
    </w:p>
    <w:p w14:paraId="172FC093" w14:textId="4EB529EC" w:rsidR="006D4E3D" w:rsidRDefault="006D4E3D" w:rsidP="00206DB2">
      <w:pPr>
        <w:ind w:right="-851"/>
        <w:rPr>
          <w:rFonts w:ascii="Arial" w:hAnsi="Arial" w:cs="Arial"/>
        </w:rPr>
      </w:pPr>
    </w:p>
    <w:p w14:paraId="171610D0" w14:textId="77777777" w:rsidR="002D6E7B" w:rsidRDefault="002D6E7B" w:rsidP="00206DB2">
      <w:pPr>
        <w:ind w:right="-851"/>
        <w:rPr>
          <w:rFonts w:ascii="Arial" w:hAnsi="Arial" w:cs="Arial"/>
        </w:rPr>
      </w:pPr>
    </w:p>
    <w:p w14:paraId="7FFC07B5" w14:textId="08393EED" w:rsidR="00206DB2" w:rsidRPr="00206DB2" w:rsidRDefault="00206DB2" w:rsidP="00206DB2">
      <w:pPr>
        <w:ind w:right="-851"/>
        <w:rPr>
          <w:rFonts w:ascii="Arial" w:hAnsi="Arial" w:cs="Arial"/>
        </w:rPr>
      </w:pPr>
      <w:r w:rsidRPr="00206DB2">
        <w:rPr>
          <w:rFonts w:ascii="Arial" w:hAnsi="Arial" w:cs="Arial"/>
        </w:rPr>
        <w:t>2.9 Sensitivity analysis</w:t>
      </w:r>
    </w:p>
    <w:p w14:paraId="02C0A0FF" w14:textId="77777777" w:rsidR="00206DB2" w:rsidRPr="00206DB2" w:rsidRDefault="00206DB2" w:rsidP="00206DB2">
      <w:pPr>
        <w:ind w:right="-851"/>
        <w:rPr>
          <w:rFonts w:ascii="Arial" w:hAnsi="Arial" w:cs="Arial"/>
        </w:rPr>
      </w:pPr>
      <w:r w:rsidRPr="00206DB2">
        <w:rPr>
          <w:rFonts w:ascii="Arial" w:hAnsi="Arial" w:cs="Arial"/>
        </w:rPr>
        <w:t>The median total costs set out in Table 3 are sensitive to the following factors:</w:t>
      </w:r>
    </w:p>
    <w:p w14:paraId="32ECFC07" w14:textId="77777777" w:rsidR="00206DB2" w:rsidRPr="00206DB2" w:rsidRDefault="00206DB2" w:rsidP="00610FD0">
      <w:pPr>
        <w:numPr>
          <w:ilvl w:val="0"/>
          <w:numId w:val="23"/>
        </w:numPr>
        <w:ind w:left="426" w:right="-851" w:hanging="426"/>
        <w:contextualSpacing/>
        <w:jc w:val="both"/>
        <w:rPr>
          <w:rFonts w:ascii="Arial" w:hAnsi="Arial" w:cs="Arial"/>
        </w:rPr>
      </w:pPr>
      <w:r w:rsidRPr="00206DB2">
        <w:rPr>
          <w:rFonts w:ascii="Arial" w:hAnsi="Arial" w:cs="Arial"/>
        </w:rPr>
        <w:t>The efficacy of the validation process in eliminating implausible and incorrect toolkit submissions for individual cost lines. LaingBuisson believe that the validation process, as described in Section 2.5 was effective.</w:t>
      </w:r>
    </w:p>
    <w:p w14:paraId="488D6486" w14:textId="77777777" w:rsidR="00206DB2" w:rsidRPr="00206DB2" w:rsidRDefault="00206DB2" w:rsidP="00610FD0">
      <w:pPr>
        <w:ind w:left="426" w:right="-851" w:hanging="426"/>
        <w:contextualSpacing/>
        <w:jc w:val="both"/>
        <w:rPr>
          <w:rFonts w:ascii="Arial" w:hAnsi="Arial" w:cs="Arial"/>
        </w:rPr>
      </w:pPr>
    </w:p>
    <w:p w14:paraId="73563A33" w14:textId="77777777" w:rsidR="00206DB2" w:rsidRPr="00206DB2" w:rsidRDefault="00206DB2" w:rsidP="00610FD0">
      <w:pPr>
        <w:numPr>
          <w:ilvl w:val="0"/>
          <w:numId w:val="23"/>
        </w:numPr>
        <w:ind w:left="426" w:right="-851" w:hanging="426"/>
        <w:contextualSpacing/>
        <w:jc w:val="both"/>
        <w:rPr>
          <w:rFonts w:ascii="Arial" w:hAnsi="Arial" w:cs="Arial"/>
        </w:rPr>
      </w:pPr>
      <w:r w:rsidRPr="00206DB2">
        <w:rPr>
          <w:rFonts w:ascii="Arial" w:hAnsi="Arial" w:cs="Arial"/>
        </w:rPr>
        <w:t>The validity of the rules adopted for elimination of outliers before calculating the medians for each cost line. Outlier exclusion was restrictive, and LaingBuisson believe the rules adopted, as described in Section 2.6 were appropriate.</w:t>
      </w:r>
    </w:p>
    <w:p w14:paraId="4E03A858" w14:textId="77777777" w:rsidR="00206DB2" w:rsidRPr="00206DB2" w:rsidRDefault="00206DB2" w:rsidP="00610FD0">
      <w:pPr>
        <w:ind w:left="426" w:right="-851" w:hanging="426"/>
        <w:contextualSpacing/>
        <w:jc w:val="both"/>
        <w:rPr>
          <w:rFonts w:ascii="Arial" w:hAnsi="Arial" w:cs="Arial"/>
        </w:rPr>
      </w:pPr>
    </w:p>
    <w:p w14:paraId="7D5E0E82" w14:textId="77777777" w:rsidR="00206DB2" w:rsidRPr="00206DB2" w:rsidRDefault="00206DB2" w:rsidP="00610FD0">
      <w:pPr>
        <w:numPr>
          <w:ilvl w:val="0"/>
          <w:numId w:val="23"/>
        </w:numPr>
        <w:ind w:left="426" w:right="-851" w:hanging="426"/>
        <w:contextualSpacing/>
        <w:jc w:val="both"/>
        <w:rPr>
          <w:rFonts w:ascii="Arial" w:hAnsi="Arial" w:cs="Arial"/>
        </w:rPr>
      </w:pPr>
      <w:r w:rsidRPr="00206DB2">
        <w:rPr>
          <w:rFonts w:ascii="Arial" w:hAnsi="Arial" w:cs="Arial"/>
        </w:rPr>
        <w:t>The value of the return on operations benchmark that has been adopted, see Section 2.9.1</w:t>
      </w:r>
    </w:p>
    <w:p w14:paraId="1C5F8990" w14:textId="77777777" w:rsidR="00206DB2" w:rsidRPr="00206DB2" w:rsidRDefault="00206DB2" w:rsidP="00610FD0">
      <w:pPr>
        <w:ind w:left="426" w:right="-851" w:hanging="426"/>
        <w:contextualSpacing/>
        <w:jc w:val="both"/>
        <w:rPr>
          <w:rFonts w:ascii="Arial" w:hAnsi="Arial" w:cs="Arial"/>
        </w:rPr>
      </w:pPr>
    </w:p>
    <w:p w14:paraId="182D285D" w14:textId="77777777" w:rsidR="00206DB2" w:rsidRPr="00206DB2" w:rsidRDefault="00206DB2" w:rsidP="00610FD0">
      <w:pPr>
        <w:numPr>
          <w:ilvl w:val="0"/>
          <w:numId w:val="23"/>
        </w:numPr>
        <w:ind w:left="426" w:right="-851" w:hanging="426"/>
        <w:contextualSpacing/>
        <w:jc w:val="both"/>
        <w:rPr>
          <w:rFonts w:ascii="Arial" w:hAnsi="Arial" w:cs="Arial"/>
        </w:rPr>
      </w:pPr>
      <w:r w:rsidRPr="00206DB2">
        <w:rPr>
          <w:rFonts w:ascii="Arial" w:hAnsi="Arial" w:cs="Arial"/>
        </w:rPr>
        <w:t>The approach to calculating confidence intervals for the median total costs, see Section 2.9.2</w:t>
      </w:r>
    </w:p>
    <w:p w14:paraId="17724377" w14:textId="77777777" w:rsidR="00206DB2" w:rsidRPr="00206DB2" w:rsidRDefault="00206DB2" w:rsidP="00610FD0">
      <w:pPr>
        <w:ind w:left="426" w:right="-851" w:hanging="426"/>
        <w:contextualSpacing/>
        <w:jc w:val="both"/>
        <w:rPr>
          <w:rFonts w:ascii="Arial" w:hAnsi="Arial" w:cs="Arial"/>
        </w:rPr>
      </w:pPr>
    </w:p>
    <w:p w14:paraId="1592F13E" w14:textId="4B62D581" w:rsidR="00206DB2" w:rsidRDefault="00206DB2" w:rsidP="00610FD0">
      <w:pPr>
        <w:numPr>
          <w:ilvl w:val="0"/>
          <w:numId w:val="23"/>
        </w:numPr>
        <w:ind w:left="426" w:right="-851" w:hanging="426"/>
        <w:contextualSpacing/>
        <w:jc w:val="both"/>
        <w:rPr>
          <w:rFonts w:ascii="Arial" w:hAnsi="Arial" w:cs="Arial"/>
        </w:rPr>
      </w:pPr>
      <w:r w:rsidRPr="00206DB2">
        <w:rPr>
          <w:rFonts w:ascii="Arial" w:hAnsi="Arial" w:cs="Arial"/>
        </w:rPr>
        <w:t xml:space="preserve">LaingBuisson discussed the factors affecting profitability and sustainability with homecare providers. Some of the factors cited included restrictions on recruitment (such as overseas recruitment) and </w:t>
      </w:r>
      <w:r w:rsidR="00710951">
        <w:rPr>
          <w:rFonts w:ascii="Arial" w:hAnsi="Arial" w:cs="Arial"/>
        </w:rPr>
        <w:t xml:space="preserve">travel time because of traffic </w:t>
      </w:r>
      <w:r w:rsidR="001D45DB">
        <w:rPr>
          <w:rFonts w:ascii="Arial" w:hAnsi="Arial" w:cs="Arial"/>
        </w:rPr>
        <w:t>congestion.</w:t>
      </w:r>
      <w:r w:rsidRPr="00206DB2">
        <w:rPr>
          <w:rFonts w:ascii="Arial" w:hAnsi="Arial" w:cs="Arial"/>
        </w:rPr>
        <w:t xml:space="preserve"> In one case, a home care provider had set a 4-mile radius of travel between their carer and client, this was due to the rurality of Oxfordshire County.  .  The cost of petrol is widely understood to have been a factor in home care staff leaving the sector, though there are no data available on this to confirm if it is a confirmed trend or a belief based on anecdote.</w:t>
      </w:r>
    </w:p>
    <w:p w14:paraId="64B13426" w14:textId="77777777" w:rsidR="007E48F2" w:rsidRPr="00206DB2" w:rsidRDefault="007E48F2" w:rsidP="00610FD0">
      <w:pPr>
        <w:ind w:right="-851"/>
        <w:contextualSpacing/>
        <w:jc w:val="both"/>
        <w:rPr>
          <w:rFonts w:ascii="Arial" w:hAnsi="Arial" w:cs="Arial"/>
        </w:rPr>
      </w:pPr>
    </w:p>
    <w:p w14:paraId="413D962A" w14:textId="77777777" w:rsidR="00206DB2" w:rsidRPr="00206DB2" w:rsidRDefault="00206DB2" w:rsidP="00610FD0">
      <w:pPr>
        <w:ind w:right="-851"/>
        <w:jc w:val="both"/>
        <w:rPr>
          <w:rFonts w:ascii="Arial" w:hAnsi="Arial" w:cs="Arial"/>
        </w:rPr>
      </w:pPr>
      <w:r w:rsidRPr="00206DB2">
        <w:rPr>
          <w:rFonts w:ascii="Arial" w:hAnsi="Arial" w:cs="Arial"/>
        </w:rPr>
        <w:t>2.9.1 Return on operations</w:t>
      </w:r>
    </w:p>
    <w:p w14:paraId="72B69D66" w14:textId="77777777" w:rsidR="00206DB2" w:rsidRPr="00206DB2" w:rsidRDefault="00206DB2" w:rsidP="00610FD0">
      <w:pPr>
        <w:ind w:right="-851"/>
        <w:jc w:val="both"/>
        <w:rPr>
          <w:rFonts w:ascii="Arial" w:hAnsi="Arial" w:cs="Arial"/>
        </w:rPr>
      </w:pPr>
      <w:r w:rsidRPr="00206DB2">
        <w:rPr>
          <w:rFonts w:ascii="Arial" w:hAnsi="Arial" w:cs="Arial"/>
        </w:rPr>
        <w:t>Oxfordshire considered a number of sources of information in relation to the return on operations. Laing Buisson advised setting the return on operations benchmark at a 10% mark-up on operating costs, see Appendix 1 for the evidence. However, after considering a full range of evidence as set out at 1.5, Oxfordshire council has determined that the benchmark should be a 5% mark-up on operating costs. As stated above (paragraph 2.8) this is 0.2% higher than the median from the validated toolkits and higher than the UKCHA 3%.  This latter benchmark rate has been applied in the calculation of median total costs in Table 3. If the council-determined benchmark were amended to the LaingBuisson recommended mark-up of 10% of operating costs, then the median total cost calculation in Table 3 would rise from £30.12 per hour to £31.56 per hour.</w:t>
      </w:r>
    </w:p>
    <w:p w14:paraId="62C15195" w14:textId="77777777" w:rsidR="00206DB2" w:rsidRPr="00206DB2" w:rsidRDefault="00206DB2" w:rsidP="00610FD0">
      <w:pPr>
        <w:ind w:right="-851"/>
        <w:jc w:val="both"/>
        <w:rPr>
          <w:rFonts w:ascii="Arial" w:hAnsi="Arial" w:cs="Arial"/>
        </w:rPr>
      </w:pPr>
      <w:r w:rsidRPr="00206DB2">
        <w:rPr>
          <w:rFonts w:ascii="Arial" w:hAnsi="Arial" w:cs="Arial"/>
        </w:rPr>
        <w:t>2.9.2 Comparisons with the Homecare Association pro forma cost structure for 2022/23</w:t>
      </w:r>
    </w:p>
    <w:p w14:paraId="2D63A0F7" w14:textId="517E07B5" w:rsidR="00206DB2" w:rsidRPr="00206DB2" w:rsidRDefault="00206DB2" w:rsidP="00610FD0">
      <w:pPr>
        <w:ind w:right="-851"/>
        <w:jc w:val="both"/>
        <w:rPr>
          <w:rFonts w:ascii="Arial" w:hAnsi="Arial" w:cs="Arial"/>
        </w:rPr>
      </w:pPr>
      <w:r w:rsidRPr="00206DB2">
        <w:rPr>
          <w:rFonts w:ascii="Arial" w:hAnsi="Arial" w:cs="Arial"/>
        </w:rPr>
        <w:t xml:space="preserve">The Homecare Association is the trade body for the independent homecare sector in the UK. It has published pro-forma costing models, the latest of which is for the year 2022/23, Table 6. To date it has been the only benchmark in the public domain for the hourly costs of visiting homecare. Gross pay for care workers’ contact + travel time, before on-costs, is shown as £11.43 nationally in the Homecare Association model, compared with the </w:t>
      </w:r>
      <w:r w:rsidR="00BE2ACF">
        <w:rPr>
          <w:rFonts w:ascii="Arial" w:hAnsi="Arial" w:cs="Arial"/>
        </w:rPr>
        <w:t xml:space="preserve"> </w:t>
      </w:r>
      <w:r w:rsidR="0029380F">
        <w:rPr>
          <w:rFonts w:ascii="Arial" w:hAnsi="Arial" w:cs="Arial"/>
        </w:rPr>
        <w:t>CoC</w:t>
      </w:r>
      <w:r w:rsidRPr="00206DB2">
        <w:rPr>
          <w:rFonts w:ascii="Arial" w:hAnsi="Arial" w:cs="Arial"/>
        </w:rPr>
        <w:t xml:space="preserve"> result of £12.46 in April 2022 for Oxfordshire County council (Table 3).</w:t>
      </w:r>
    </w:p>
    <w:p w14:paraId="6222E36B" w14:textId="6AFA86B0" w:rsidR="00206DB2" w:rsidRPr="00206DB2" w:rsidRDefault="00206DB2" w:rsidP="00610FD0">
      <w:pPr>
        <w:ind w:right="-851"/>
        <w:jc w:val="both"/>
        <w:rPr>
          <w:rFonts w:ascii="Arial" w:hAnsi="Arial" w:cs="Arial"/>
        </w:rPr>
      </w:pPr>
      <w:r w:rsidRPr="00206DB2">
        <w:rPr>
          <w:rFonts w:ascii="Arial" w:hAnsi="Arial" w:cs="Arial"/>
        </w:rPr>
        <w:t xml:space="preserve">The ratio of ‘Total price’ to gross pay works out at 2.03 in the Home Association pro-forma model, compared with an equivalent ratio (Total cost to (Direct Care + Travel Time) of 2.41 from the </w:t>
      </w:r>
      <w:r w:rsidR="00BE2ACF">
        <w:rPr>
          <w:rFonts w:ascii="Arial" w:hAnsi="Arial" w:cs="Arial"/>
        </w:rPr>
        <w:t xml:space="preserve"> </w:t>
      </w:r>
      <w:r w:rsidR="0029380F">
        <w:rPr>
          <w:rFonts w:ascii="Arial" w:hAnsi="Arial" w:cs="Arial"/>
        </w:rPr>
        <w:t>CoC</w:t>
      </w:r>
      <w:r w:rsidRPr="00206DB2">
        <w:rPr>
          <w:rFonts w:ascii="Arial" w:hAnsi="Arial" w:cs="Arial"/>
        </w:rPr>
        <w:t xml:space="preserve"> results in Oxfordshire presented in Table 3.</w:t>
      </w:r>
    </w:p>
    <w:p w14:paraId="6F7B68D8" w14:textId="3B59C14A" w:rsidR="00206DB2" w:rsidRPr="00206DB2" w:rsidRDefault="00206DB2" w:rsidP="00610FD0">
      <w:pPr>
        <w:ind w:right="-851"/>
        <w:jc w:val="both"/>
        <w:rPr>
          <w:rFonts w:ascii="Arial" w:hAnsi="Arial" w:cs="Arial"/>
        </w:rPr>
      </w:pPr>
      <w:r w:rsidRPr="00206DB2">
        <w:rPr>
          <w:rFonts w:ascii="Arial" w:hAnsi="Arial" w:cs="Arial"/>
        </w:rPr>
        <w:lastRenderedPageBreak/>
        <w:t xml:space="preserve">If the Homecare Association ratio of 2.03 were applied to the </w:t>
      </w:r>
      <w:r w:rsidR="00FC23BE">
        <w:rPr>
          <w:rFonts w:ascii="Arial" w:hAnsi="Arial" w:cs="Arial"/>
        </w:rPr>
        <w:t>Cost of Care</w:t>
      </w:r>
      <w:r w:rsidR="00FC23BE" w:rsidRPr="00206DB2">
        <w:rPr>
          <w:rFonts w:ascii="Arial" w:hAnsi="Arial" w:cs="Arial"/>
        </w:rPr>
        <w:t xml:space="preserve"> </w:t>
      </w:r>
      <w:r w:rsidRPr="00206DB2">
        <w:rPr>
          <w:rFonts w:ascii="Arial" w:hAnsi="Arial" w:cs="Arial"/>
        </w:rPr>
        <w:t xml:space="preserve">median gross pay per hour in Oxfordshire County, then the Total cost line in Table 3 would work out at £25.29 per hour, which is very close to the council’s current rate of £25.20. This rate was based on a previous Valuing Care exercise and has since been inflated to keep in line with increases in costs. </w:t>
      </w:r>
    </w:p>
    <w:p w14:paraId="6C7212AA" w14:textId="77777777" w:rsidR="00206DB2" w:rsidRPr="00206DB2" w:rsidRDefault="00206DB2" w:rsidP="00610FD0">
      <w:pPr>
        <w:ind w:right="-851"/>
        <w:jc w:val="both"/>
        <w:rPr>
          <w:rFonts w:ascii="Arial" w:hAnsi="Arial" w:cs="Arial"/>
        </w:rPr>
      </w:pPr>
      <w:r w:rsidRPr="00206DB2">
        <w:rPr>
          <w:rFonts w:ascii="Arial" w:hAnsi="Arial" w:cs="Arial"/>
        </w:rPr>
        <w:t xml:space="preserve">LaingBuisson identified significant anomalies in the submissions for business costs, which when tested with providers indicated variations in completing the toolkit; it is possible costs were included which did not directly relate to the cost of delivering home care. </w:t>
      </w:r>
    </w:p>
    <w:p w14:paraId="6F42E8AF" w14:textId="7D58F60B" w:rsidR="00206DB2" w:rsidRPr="00206DB2" w:rsidRDefault="00206DB2" w:rsidP="00610FD0">
      <w:pPr>
        <w:ind w:right="-851"/>
        <w:jc w:val="both"/>
        <w:rPr>
          <w:rFonts w:ascii="Arial" w:hAnsi="Arial" w:cs="Arial"/>
        </w:rPr>
      </w:pPr>
      <w:r w:rsidRPr="00206DB2">
        <w:rPr>
          <w:rFonts w:ascii="Arial" w:hAnsi="Arial" w:cs="Arial"/>
        </w:rPr>
        <w:t xml:space="preserve">The single most important contributor to the cost differential between the </w:t>
      </w:r>
      <w:r w:rsidR="00BE2ACF">
        <w:rPr>
          <w:rFonts w:ascii="Arial" w:hAnsi="Arial" w:cs="Arial"/>
        </w:rPr>
        <w:t xml:space="preserve"> </w:t>
      </w:r>
      <w:r w:rsidR="0029380F">
        <w:rPr>
          <w:rFonts w:ascii="Arial" w:hAnsi="Arial" w:cs="Arial"/>
        </w:rPr>
        <w:t>CoC</w:t>
      </w:r>
      <w:r w:rsidRPr="00206DB2">
        <w:rPr>
          <w:rFonts w:ascii="Arial" w:hAnsi="Arial" w:cs="Arial"/>
        </w:rPr>
        <w:t xml:space="preserve"> median and the Homecare Association’s national minimum pro forma cost structure is cost line described as ‘Running the Business’ by the Homecare Association and  ‘Business Costs’ by the </w:t>
      </w:r>
      <w:r w:rsidR="00BE2ACF">
        <w:rPr>
          <w:rFonts w:ascii="Arial" w:hAnsi="Arial" w:cs="Arial"/>
        </w:rPr>
        <w:t xml:space="preserve"> </w:t>
      </w:r>
      <w:r w:rsidR="0029380F">
        <w:rPr>
          <w:rFonts w:ascii="Arial" w:hAnsi="Arial" w:cs="Arial"/>
        </w:rPr>
        <w:t>CoC</w:t>
      </w:r>
      <w:r w:rsidRPr="00206DB2">
        <w:rPr>
          <w:rFonts w:ascii="Arial" w:hAnsi="Arial" w:cs="Arial"/>
        </w:rPr>
        <w:t xml:space="preserve"> toolkit. The contributions to total hourly costs were £9.99 for business costs and £5.58 for back-office staff. A differential of this magnitude is hard to explain other than in terms of random variation among the small number of Oxfordshire respondents. We have already referred in Section 2.6.1 to possible systematic overstatement of ‘Business Cost’ costs. We have addressed this with tighter outlier exclusions, but that may be a blunt instrument. LaingBuisson has therefore recommended that the council should be aware of the ‘Business Cost’ anomaly when reviewing appropriate fee rates in the light of the </w:t>
      </w:r>
      <w:r w:rsidR="00927527">
        <w:rPr>
          <w:rFonts w:ascii="Arial" w:hAnsi="Arial" w:cs="Arial"/>
        </w:rPr>
        <w:t>Cost of Care</w:t>
      </w:r>
      <w:r w:rsidR="00927527" w:rsidRPr="00206DB2">
        <w:rPr>
          <w:rFonts w:ascii="Arial" w:hAnsi="Arial" w:cs="Arial"/>
        </w:rPr>
        <w:t xml:space="preserve"> </w:t>
      </w:r>
      <w:r w:rsidRPr="00206DB2">
        <w:rPr>
          <w:rFonts w:ascii="Arial" w:hAnsi="Arial" w:cs="Arial"/>
        </w:rPr>
        <w:t>median results.</w:t>
      </w:r>
      <w:r w:rsidRPr="00206DB2">
        <w:t xml:space="preserve"> </w:t>
      </w:r>
      <w:r w:rsidRPr="00206DB2">
        <w:rPr>
          <w:rFonts w:ascii="Arial" w:hAnsi="Arial" w:cs="Arial"/>
        </w:rPr>
        <w:t>Having taken in account the previous Valuing Care exercise, the council therefore intends to accept back-office costs at a rate of £6.20 per hour, being the higher of these two amounts when adjusted for 2022/23 figures.</w:t>
      </w:r>
    </w:p>
    <w:p w14:paraId="74E57530" w14:textId="77777777" w:rsidR="00206DB2" w:rsidRPr="00206DB2" w:rsidRDefault="00206DB2" w:rsidP="00610FD0">
      <w:pPr>
        <w:ind w:right="-851"/>
        <w:jc w:val="both"/>
        <w:rPr>
          <w:rFonts w:ascii="Arial" w:hAnsi="Arial" w:cs="Arial"/>
        </w:rPr>
      </w:pPr>
      <w:r w:rsidRPr="00206DB2">
        <w:rPr>
          <w:rFonts w:ascii="Arial" w:hAnsi="Arial" w:cs="Arial"/>
        </w:rPr>
        <w:t xml:space="preserve">It should be noted that the Homecare Association pro forma allows a 3% mark-up for ‘profit or surplus’. LaingBuisson considers this to be unrealistically low, even as a minimum, as indicated. It is unlikely that any commercial organisation would consider entering the domiciliary care sector with an average expected profitability of 3%. </w:t>
      </w:r>
    </w:p>
    <w:p w14:paraId="21CD96C5" w14:textId="77777777" w:rsidR="00206DB2" w:rsidRPr="007E48F2" w:rsidRDefault="00206DB2" w:rsidP="00206DB2">
      <w:pPr>
        <w:ind w:right="-851"/>
        <w:rPr>
          <w:rFonts w:ascii="Arial" w:hAnsi="Arial" w:cs="Arial"/>
          <w:b/>
          <w:bCs/>
          <w:sz w:val="18"/>
          <w:szCs w:val="18"/>
        </w:rPr>
      </w:pPr>
      <w:r w:rsidRPr="007E48F2">
        <w:rPr>
          <w:rFonts w:ascii="Arial" w:hAnsi="Arial" w:cs="Arial"/>
          <w:b/>
          <w:bCs/>
          <w:sz w:val="18"/>
          <w:szCs w:val="18"/>
        </w:rPr>
        <w:t>Table 6 Pro forma minimum cost structure of the short duration visiting model of homecare, illustrated at National Living Wage for all care workers, £ per hour 2022-23</w:t>
      </w:r>
    </w:p>
    <w:tbl>
      <w:tblPr>
        <w:tblStyle w:val="TableGrid"/>
        <w:tblW w:w="8228" w:type="dxa"/>
        <w:jc w:val="center"/>
        <w:tblLook w:val="04A0" w:firstRow="1" w:lastRow="0" w:firstColumn="1" w:lastColumn="0" w:noHBand="0" w:noVBand="1"/>
      </w:tblPr>
      <w:tblGrid>
        <w:gridCol w:w="5444"/>
        <w:gridCol w:w="2784"/>
      </w:tblGrid>
      <w:tr w:rsidR="00206DB2" w:rsidRPr="00206DB2" w14:paraId="434FB744" w14:textId="77777777" w:rsidTr="00020C5C">
        <w:trPr>
          <w:trHeight w:val="313"/>
          <w:jc w:val="center"/>
        </w:trPr>
        <w:tc>
          <w:tcPr>
            <w:tcW w:w="5444" w:type="dxa"/>
            <w:hideMark/>
          </w:tcPr>
          <w:p w14:paraId="671DBF6F" w14:textId="77777777" w:rsidR="00206DB2" w:rsidRPr="00206DB2" w:rsidRDefault="00206DB2" w:rsidP="00206DB2">
            <w:pPr>
              <w:ind w:right="-851"/>
              <w:rPr>
                <w:rFonts w:ascii="Arial" w:hAnsi="Arial" w:cs="Arial"/>
                <w:lang w:eastAsia="en-GB"/>
              </w:rPr>
            </w:pPr>
          </w:p>
        </w:tc>
        <w:tc>
          <w:tcPr>
            <w:tcW w:w="2784" w:type="dxa"/>
            <w:noWrap/>
            <w:hideMark/>
          </w:tcPr>
          <w:p w14:paraId="7B45E42E" w14:textId="77777777" w:rsidR="00206DB2" w:rsidRPr="00206DB2" w:rsidRDefault="00206DB2" w:rsidP="00206DB2">
            <w:pPr>
              <w:ind w:right="-851"/>
              <w:rPr>
                <w:rFonts w:ascii="Arial" w:hAnsi="Arial" w:cs="Arial"/>
                <w:lang w:eastAsia="en-GB"/>
              </w:rPr>
            </w:pPr>
            <w:r w:rsidRPr="00206DB2">
              <w:rPr>
                <w:rFonts w:ascii="Arial" w:hAnsi="Arial" w:cs="Arial"/>
                <w:lang w:eastAsia="en-GB"/>
              </w:rPr>
              <w:t>£ per hour</w:t>
            </w:r>
          </w:p>
        </w:tc>
      </w:tr>
      <w:tr w:rsidR="00206DB2" w:rsidRPr="00206DB2" w14:paraId="75C82D99" w14:textId="77777777" w:rsidTr="00020C5C">
        <w:trPr>
          <w:trHeight w:val="313"/>
          <w:jc w:val="center"/>
        </w:trPr>
        <w:tc>
          <w:tcPr>
            <w:tcW w:w="5444" w:type="dxa"/>
            <w:hideMark/>
          </w:tcPr>
          <w:p w14:paraId="64367D99" w14:textId="77777777" w:rsidR="00206DB2" w:rsidRPr="00206DB2" w:rsidRDefault="00206DB2" w:rsidP="00206DB2">
            <w:pPr>
              <w:ind w:right="-851"/>
              <w:rPr>
                <w:rFonts w:ascii="Arial" w:hAnsi="Arial" w:cs="Arial"/>
                <w:lang w:eastAsia="en-GB"/>
              </w:rPr>
            </w:pPr>
            <w:r w:rsidRPr="00206DB2">
              <w:rPr>
                <w:rFonts w:ascii="Arial" w:hAnsi="Arial" w:cs="Arial"/>
                <w:lang w:eastAsia="en-GB"/>
              </w:rPr>
              <w:t>Care workers contact time (gross pay before on-costs)</w:t>
            </w:r>
          </w:p>
        </w:tc>
        <w:tc>
          <w:tcPr>
            <w:tcW w:w="2784" w:type="dxa"/>
            <w:noWrap/>
            <w:hideMark/>
          </w:tcPr>
          <w:p w14:paraId="197D44E1" w14:textId="77777777" w:rsidR="00206DB2" w:rsidRPr="00206DB2" w:rsidRDefault="00206DB2" w:rsidP="00206DB2">
            <w:pPr>
              <w:ind w:right="-851"/>
              <w:rPr>
                <w:rFonts w:ascii="Arial" w:hAnsi="Arial" w:cs="Arial"/>
                <w:lang w:eastAsia="en-GB"/>
              </w:rPr>
            </w:pPr>
            <w:r w:rsidRPr="00206DB2">
              <w:rPr>
                <w:rFonts w:ascii="Arial" w:hAnsi="Arial" w:cs="Arial"/>
                <w:lang w:eastAsia="en-GB"/>
              </w:rPr>
              <w:t>£9.50</w:t>
            </w:r>
          </w:p>
        </w:tc>
      </w:tr>
      <w:tr w:rsidR="00206DB2" w:rsidRPr="00206DB2" w14:paraId="430FB659" w14:textId="77777777" w:rsidTr="00020C5C">
        <w:trPr>
          <w:trHeight w:val="313"/>
          <w:jc w:val="center"/>
        </w:trPr>
        <w:tc>
          <w:tcPr>
            <w:tcW w:w="5444" w:type="dxa"/>
            <w:hideMark/>
          </w:tcPr>
          <w:p w14:paraId="1B8A39D3" w14:textId="77777777" w:rsidR="00206DB2" w:rsidRPr="00206DB2" w:rsidRDefault="00206DB2" w:rsidP="00206DB2">
            <w:pPr>
              <w:ind w:right="-851"/>
              <w:rPr>
                <w:rFonts w:ascii="Arial" w:hAnsi="Arial" w:cs="Arial"/>
                <w:lang w:eastAsia="en-GB"/>
              </w:rPr>
            </w:pPr>
            <w:r w:rsidRPr="00206DB2">
              <w:rPr>
                <w:rFonts w:ascii="Arial" w:hAnsi="Arial" w:cs="Arial"/>
                <w:lang w:eastAsia="en-GB"/>
              </w:rPr>
              <w:t>Care workers travel time (gross pay before on-costs)</w:t>
            </w:r>
          </w:p>
        </w:tc>
        <w:tc>
          <w:tcPr>
            <w:tcW w:w="2784" w:type="dxa"/>
            <w:noWrap/>
            <w:hideMark/>
          </w:tcPr>
          <w:p w14:paraId="20D91538" w14:textId="77777777" w:rsidR="00206DB2" w:rsidRPr="00206DB2" w:rsidRDefault="00206DB2" w:rsidP="00206DB2">
            <w:pPr>
              <w:ind w:right="-851"/>
              <w:rPr>
                <w:rFonts w:ascii="Arial" w:hAnsi="Arial" w:cs="Arial"/>
                <w:lang w:eastAsia="en-GB"/>
              </w:rPr>
            </w:pPr>
            <w:r w:rsidRPr="00206DB2">
              <w:rPr>
                <w:rFonts w:ascii="Arial" w:hAnsi="Arial" w:cs="Arial"/>
                <w:lang w:eastAsia="en-GB"/>
              </w:rPr>
              <w:t>£1.93</w:t>
            </w:r>
          </w:p>
        </w:tc>
      </w:tr>
      <w:tr w:rsidR="00206DB2" w:rsidRPr="00206DB2" w14:paraId="2E1F9103" w14:textId="77777777" w:rsidTr="00020C5C">
        <w:trPr>
          <w:trHeight w:val="313"/>
          <w:jc w:val="center"/>
        </w:trPr>
        <w:tc>
          <w:tcPr>
            <w:tcW w:w="5444" w:type="dxa"/>
            <w:hideMark/>
          </w:tcPr>
          <w:p w14:paraId="4CD3463A" w14:textId="77777777" w:rsidR="00206DB2" w:rsidRPr="00206DB2" w:rsidRDefault="00206DB2" w:rsidP="00206DB2">
            <w:pPr>
              <w:ind w:right="-851"/>
              <w:rPr>
                <w:rFonts w:ascii="Arial" w:hAnsi="Arial" w:cs="Arial"/>
                <w:lang w:eastAsia="en-GB"/>
              </w:rPr>
            </w:pPr>
            <w:r w:rsidRPr="00206DB2">
              <w:rPr>
                <w:rFonts w:ascii="Arial" w:hAnsi="Arial" w:cs="Arial"/>
                <w:lang w:eastAsia="en-GB"/>
              </w:rPr>
              <w:t xml:space="preserve">NI and pension contributions </w:t>
            </w:r>
          </w:p>
        </w:tc>
        <w:tc>
          <w:tcPr>
            <w:tcW w:w="2784" w:type="dxa"/>
            <w:noWrap/>
            <w:hideMark/>
          </w:tcPr>
          <w:p w14:paraId="603A0D5D" w14:textId="77777777" w:rsidR="00206DB2" w:rsidRPr="00206DB2" w:rsidRDefault="00206DB2" w:rsidP="00206DB2">
            <w:pPr>
              <w:ind w:right="-851"/>
              <w:rPr>
                <w:rFonts w:ascii="Arial" w:hAnsi="Arial" w:cs="Arial"/>
                <w:lang w:eastAsia="en-GB"/>
              </w:rPr>
            </w:pPr>
            <w:r w:rsidRPr="00206DB2">
              <w:rPr>
                <w:rFonts w:ascii="Arial" w:hAnsi="Arial" w:cs="Arial"/>
                <w:lang w:eastAsia="en-GB"/>
              </w:rPr>
              <w:t>£1.34</w:t>
            </w:r>
          </w:p>
        </w:tc>
      </w:tr>
      <w:tr w:rsidR="00206DB2" w:rsidRPr="00206DB2" w14:paraId="7DF3EFA7" w14:textId="77777777" w:rsidTr="00020C5C">
        <w:trPr>
          <w:trHeight w:val="313"/>
          <w:jc w:val="center"/>
        </w:trPr>
        <w:tc>
          <w:tcPr>
            <w:tcW w:w="5444" w:type="dxa"/>
            <w:hideMark/>
          </w:tcPr>
          <w:p w14:paraId="0C0AECF8" w14:textId="77777777" w:rsidR="00206DB2" w:rsidRPr="00206DB2" w:rsidRDefault="00206DB2" w:rsidP="00206DB2">
            <w:pPr>
              <w:ind w:right="-851"/>
              <w:rPr>
                <w:rFonts w:ascii="Arial" w:hAnsi="Arial" w:cs="Arial"/>
                <w:lang w:eastAsia="en-GB"/>
              </w:rPr>
            </w:pPr>
            <w:r w:rsidRPr="00206DB2">
              <w:rPr>
                <w:rFonts w:ascii="Arial" w:hAnsi="Arial" w:cs="Arial"/>
                <w:lang w:eastAsia="en-GB"/>
              </w:rPr>
              <w:t>Other wage-related on-costs</w:t>
            </w:r>
          </w:p>
        </w:tc>
        <w:tc>
          <w:tcPr>
            <w:tcW w:w="2784" w:type="dxa"/>
            <w:noWrap/>
            <w:hideMark/>
          </w:tcPr>
          <w:p w14:paraId="1A31A782" w14:textId="77777777" w:rsidR="00206DB2" w:rsidRPr="00206DB2" w:rsidRDefault="00206DB2" w:rsidP="00206DB2">
            <w:pPr>
              <w:ind w:right="-851"/>
              <w:rPr>
                <w:rFonts w:ascii="Arial" w:hAnsi="Arial" w:cs="Arial"/>
                <w:lang w:eastAsia="en-GB"/>
              </w:rPr>
            </w:pPr>
            <w:r w:rsidRPr="00206DB2">
              <w:rPr>
                <w:rFonts w:ascii="Arial" w:hAnsi="Arial" w:cs="Arial"/>
                <w:lang w:eastAsia="en-GB"/>
              </w:rPr>
              <w:t>£2.28</w:t>
            </w:r>
          </w:p>
        </w:tc>
      </w:tr>
      <w:tr w:rsidR="00206DB2" w:rsidRPr="00206DB2" w14:paraId="73BBC765" w14:textId="77777777" w:rsidTr="00020C5C">
        <w:trPr>
          <w:trHeight w:val="313"/>
          <w:jc w:val="center"/>
        </w:trPr>
        <w:tc>
          <w:tcPr>
            <w:tcW w:w="5444" w:type="dxa"/>
            <w:hideMark/>
          </w:tcPr>
          <w:p w14:paraId="123DDA2C" w14:textId="77777777" w:rsidR="00206DB2" w:rsidRPr="00206DB2" w:rsidRDefault="00206DB2" w:rsidP="00206DB2">
            <w:pPr>
              <w:ind w:right="-851"/>
              <w:rPr>
                <w:rFonts w:ascii="Arial" w:hAnsi="Arial" w:cs="Arial"/>
                <w:lang w:eastAsia="en-GB"/>
              </w:rPr>
            </w:pPr>
            <w:r w:rsidRPr="00206DB2">
              <w:rPr>
                <w:rFonts w:ascii="Arial" w:hAnsi="Arial" w:cs="Arial"/>
                <w:lang w:eastAsia="en-GB"/>
              </w:rPr>
              <w:t>Mileage</w:t>
            </w:r>
          </w:p>
        </w:tc>
        <w:tc>
          <w:tcPr>
            <w:tcW w:w="2784" w:type="dxa"/>
            <w:noWrap/>
            <w:hideMark/>
          </w:tcPr>
          <w:p w14:paraId="69E7913D" w14:textId="77777777" w:rsidR="00206DB2" w:rsidRPr="00206DB2" w:rsidRDefault="00206DB2" w:rsidP="00206DB2">
            <w:pPr>
              <w:ind w:right="-851"/>
              <w:rPr>
                <w:rFonts w:ascii="Arial" w:hAnsi="Arial" w:cs="Arial"/>
                <w:lang w:eastAsia="en-GB"/>
              </w:rPr>
            </w:pPr>
            <w:r w:rsidRPr="00206DB2">
              <w:rPr>
                <w:rFonts w:ascii="Arial" w:hAnsi="Arial" w:cs="Arial"/>
                <w:lang w:eastAsia="en-GB"/>
              </w:rPr>
              <w:t>£1.52</w:t>
            </w:r>
          </w:p>
        </w:tc>
      </w:tr>
      <w:tr w:rsidR="00206DB2" w:rsidRPr="00206DB2" w14:paraId="096D2F53" w14:textId="77777777" w:rsidTr="00020C5C">
        <w:trPr>
          <w:trHeight w:val="313"/>
          <w:jc w:val="center"/>
        </w:trPr>
        <w:tc>
          <w:tcPr>
            <w:tcW w:w="5444" w:type="dxa"/>
            <w:hideMark/>
          </w:tcPr>
          <w:p w14:paraId="05DD5FA9" w14:textId="77777777" w:rsidR="00206DB2" w:rsidRPr="00206DB2" w:rsidRDefault="00206DB2" w:rsidP="00206DB2">
            <w:pPr>
              <w:ind w:right="-851"/>
              <w:rPr>
                <w:rFonts w:ascii="Arial" w:hAnsi="Arial" w:cs="Arial"/>
                <w:lang w:eastAsia="en-GB"/>
              </w:rPr>
            </w:pPr>
            <w:r w:rsidRPr="00206DB2">
              <w:rPr>
                <w:rFonts w:ascii="Arial" w:hAnsi="Arial" w:cs="Arial"/>
                <w:lang w:eastAsia="en-GB"/>
              </w:rPr>
              <w:t>Running the business</w:t>
            </w:r>
          </w:p>
        </w:tc>
        <w:tc>
          <w:tcPr>
            <w:tcW w:w="2784" w:type="dxa"/>
            <w:noWrap/>
            <w:hideMark/>
          </w:tcPr>
          <w:p w14:paraId="18AB9483" w14:textId="77777777" w:rsidR="00206DB2" w:rsidRPr="00206DB2" w:rsidRDefault="00206DB2" w:rsidP="00206DB2">
            <w:pPr>
              <w:ind w:right="-851"/>
              <w:rPr>
                <w:rFonts w:ascii="Arial" w:hAnsi="Arial" w:cs="Arial"/>
                <w:lang w:eastAsia="en-GB"/>
              </w:rPr>
            </w:pPr>
            <w:r w:rsidRPr="00206DB2">
              <w:rPr>
                <w:rFonts w:ascii="Arial" w:hAnsi="Arial" w:cs="Arial"/>
                <w:lang w:eastAsia="en-GB"/>
              </w:rPr>
              <w:t>£5.95</w:t>
            </w:r>
          </w:p>
        </w:tc>
      </w:tr>
      <w:tr w:rsidR="00206DB2" w:rsidRPr="00206DB2" w14:paraId="09700D28" w14:textId="77777777" w:rsidTr="00020C5C">
        <w:trPr>
          <w:trHeight w:val="313"/>
          <w:jc w:val="center"/>
        </w:trPr>
        <w:tc>
          <w:tcPr>
            <w:tcW w:w="5444" w:type="dxa"/>
            <w:hideMark/>
          </w:tcPr>
          <w:p w14:paraId="3CBD2C70" w14:textId="77777777" w:rsidR="00206DB2" w:rsidRPr="00206DB2" w:rsidRDefault="00206DB2" w:rsidP="00206DB2">
            <w:pPr>
              <w:ind w:right="-851"/>
              <w:rPr>
                <w:rFonts w:ascii="Arial" w:hAnsi="Arial" w:cs="Arial"/>
                <w:lang w:eastAsia="en-GB"/>
              </w:rPr>
            </w:pPr>
            <w:r w:rsidRPr="00206DB2">
              <w:rPr>
                <w:rFonts w:ascii="Arial" w:hAnsi="Arial" w:cs="Arial"/>
                <w:lang w:eastAsia="en-GB"/>
              </w:rPr>
              <w:t>Profit or surplus</w:t>
            </w:r>
          </w:p>
        </w:tc>
        <w:tc>
          <w:tcPr>
            <w:tcW w:w="2784" w:type="dxa"/>
            <w:noWrap/>
            <w:hideMark/>
          </w:tcPr>
          <w:p w14:paraId="405EA1C0" w14:textId="77777777" w:rsidR="00206DB2" w:rsidRPr="00206DB2" w:rsidRDefault="00206DB2" w:rsidP="00206DB2">
            <w:pPr>
              <w:ind w:right="-851"/>
              <w:rPr>
                <w:rFonts w:ascii="Arial" w:hAnsi="Arial" w:cs="Arial"/>
                <w:lang w:eastAsia="en-GB"/>
              </w:rPr>
            </w:pPr>
            <w:r w:rsidRPr="00206DB2">
              <w:rPr>
                <w:rFonts w:ascii="Arial" w:hAnsi="Arial" w:cs="Arial"/>
                <w:lang w:eastAsia="en-GB"/>
              </w:rPr>
              <w:t>£0.68</w:t>
            </w:r>
          </w:p>
        </w:tc>
      </w:tr>
      <w:tr w:rsidR="00206DB2" w:rsidRPr="00206DB2" w14:paraId="18C038C8" w14:textId="77777777" w:rsidTr="00020C5C">
        <w:trPr>
          <w:trHeight w:val="313"/>
          <w:jc w:val="center"/>
        </w:trPr>
        <w:tc>
          <w:tcPr>
            <w:tcW w:w="5444" w:type="dxa"/>
            <w:hideMark/>
          </w:tcPr>
          <w:p w14:paraId="2AB5792C" w14:textId="77777777" w:rsidR="00206DB2" w:rsidRPr="00206DB2" w:rsidRDefault="00206DB2" w:rsidP="00206DB2">
            <w:pPr>
              <w:ind w:right="-851"/>
              <w:rPr>
                <w:rFonts w:ascii="Arial" w:hAnsi="Arial" w:cs="Arial"/>
                <w:b/>
                <w:bCs/>
                <w:lang w:eastAsia="en-GB"/>
              </w:rPr>
            </w:pPr>
            <w:r w:rsidRPr="00206DB2">
              <w:rPr>
                <w:rFonts w:ascii="Arial" w:hAnsi="Arial" w:cs="Arial"/>
                <w:b/>
                <w:bCs/>
                <w:lang w:eastAsia="en-GB"/>
              </w:rPr>
              <w:t>Minimum hourly price</w:t>
            </w:r>
          </w:p>
        </w:tc>
        <w:tc>
          <w:tcPr>
            <w:tcW w:w="2784" w:type="dxa"/>
            <w:noWrap/>
            <w:hideMark/>
          </w:tcPr>
          <w:p w14:paraId="0EF644F6" w14:textId="77777777" w:rsidR="00206DB2" w:rsidRPr="00206DB2" w:rsidRDefault="00206DB2" w:rsidP="00206DB2">
            <w:pPr>
              <w:ind w:right="-851"/>
              <w:rPr>
                <w:rFonts w:ascii="Arial" w:hAnsi="Arial" w:cs="Arial"/>
                <w:b/>
                <w:bCs/>
                <w:lang w:eastAsia="en-GB"/>
              </w:rPr>
            </w:pPr>
            <w:r w:rsidRPr="00206DB2">
              <w:rPr>
                <w:rFonts w:ascii="Arial" w:hAnsi="Arial" w:cs="Arial"/>
                <w:b/>
                <w:bCs/>
                <w:lang w:eastAsia="en-GB"/>
              </w:rPr>
              <w:t>£23.20</w:t>
            </w:r>
          </w:p>
        </w:tc>
      </w:tr>
    </w:tbl>
    <w:p w14:paraId="396E8277" w14:textId="1DFB7CE7" w:rsidR="00B31F72" w:rsidRDefault="00B31F72" w:rsidP="00206DB2">
      <w:pPr>
        <w:ind w:right="-851"/>
        <w:rPr>
          <w:rFonts w:ascii="Arial" w:hAnsi="Arial" w:cs="Arial"/>
        </w:rPr>
      </w:pPr>
    </w:p>
    <w:p w14:paraId="53F377EB" w14:textId="77777777" w:rsidR="006D4E3D" w:rsidRPr="00206DB2" w:rsidRDefault="006D4E3D" w:rsidP="00206DB2">
      <w:pPr>
        <w:ind w:right="-851"/>
        <w:rPr>
          <w:rFonts w:ascii="Arial" w:hAnsi="Arial" w:cs="Arial"/>
        </w:rPr>
      </w:pPr>
    </w:p>
    <w:p w14:paraId="727D7A11" w14:textId="77777777" w:rsidR="00206DB2" w:rsidRPr="00206DB2" w:rsidRDefault="00206DB2" w:rsidP="00610FD0">
      <w:pPr>
        <w:ind w:right="-851"/>
        <w:jc w:val="both"/>
        <w:rPr>
          <w:rFonts w:ascii="Arial" w:hAnsi="Arial" w:cs="Arial"/>
        </w:rPr>
      </w:pPr>
      <w:r w:rsidRPr="00206DB2">
        <w:rPr>
          <w:rFonts w:ascii="Arial" w:hAnsi="Arial" w:cs="Arial"/>
        </w:rPr>
        <w:lastRenderedPageBreak/>
        <w:t>2.9.3 Confidence intervals</w:t>
      </w:r>
    </w:p>
    <w:p w14:paraId="52C0E32C" w14:textId="77777777" w:rsidR="00206DB2" w:rsidRPr="00206DB2" w:rsidRDefault="00206DB2" w:rsidP="00610FD0">
      <w:pPr>
        <w:ind w:right="-851"/>
        <w:jc w:val="both"/>
        <w:rPr>
          <w:rFonts w:ascii="Arial" w:hAnsi="Arial" w:cs="Arial"/>
        </w:rPr>
      </w:pPr>
      <w:r w:rsidRPr="00206DB2">
        <w:rPr>
          <w:rFonts w:ascii="Arial" w:hAnsi="Arial" w:cs="Arial"/>
        </w:rPr>
        <w:t>While we have no reason to believe that the toolkit responses were biased in any systematic way, there was a high degree of variance in many of the cost lines submitted by respondents. LaingBuisson note that this may “give rise to concerns about the statistical validity of the calculated median”.</w:t>
      </w:r>
    </w:p>
    <w:p w14:paraId="4CD7F8B5" w14:textId="3AFE32D4" w:rsidR="00206DB2" w:rsidRPr="00206DB2" w:rsidRDefault="00206DB2" w:rsidP="00610FD0">
      <w:pPr>
        <w:ind w:right="-851"/>
        <w:jc w:val="both"/>
        <w:rPr>
          <w:rFonts w:ascii="Arial" w:hAnsi="Arial" w:cs="Arial"/>
        </w:rPr>
      </w:pPr>
      <w:r w:rsidRPr="00206DB2">
        <w:rPr>
          <w:rFonts w:ascii="Arial" w:hAnsi="Arial" w:cs="Arial"/>
        </w:rPr>
        <w:t xml:space="preserve">DHSC guidance does not ask for any assessment of the reliability of the </w:t>
      </w:r>
      <w:r w:rsidR="00927527">
        <w:rPr>
          <w:rFonts w:ascii="Arial" w:hAnsi="Arial" w:cs="Arial"/>
        </w:rPr>
        <w:t>CoC</w:t>
      </w:r>
      <w:r w:rsidR="00927527" w:rsidRPr="00206DB2">
        <w:rPr>
          <w:rFonts w:ascii="Arial" w:hAnsi="Arial" w:cs="Arial"/>
        </w:rPr>
        <w:t xml:space="preserve"> </w:t>
      </w:r>
      <w:r w:rsidRPr="00206DB2">
        <w:rPr>
          <w:rFonts w:ascii="Arial" w:hAnsi="Arial" w:cs="Arial"/>
        </w:rPr>
        <w:t xml:space="preserve">results. However, LaingBuisson recognise that because of the relatively low number of validated responses, and the high degree of variance among the sample of toolkits in most of the cost lines, the council may wish to give some indication of confidence limits, and particularly whether confidence limits for the </w:t>
      </w:r>
      <w:r w:rsidR="00927527">
        <w:rPr>
          <w:rFonts w:ascii="Arial" w:hAnsi="Arial" w:cs="Arial"/>
        </w:rPr>
        <w:t>CoC</w:t>
      </w:r>
      <w:r w:rsidR="00927527" w:rsidRPr="00206DB2">
        <w:rPr>
          <w:rFonts w:ascii="Arial" w:hAnsi="Arial" w:cs="Arial"/>
        </w:rPr>
        <w:t xml:space="preserve"> </w:t>
      </w:r>
      <w:r w:rsidRPr="00206DB2">
        <w:rPr>
          <w:rFonts w:ascii="Arial" w:hAnsi="Arial" w:cs="Arial"/>
        </w:rPr>
        <w:t>medians do or do not overlap with average fees currently being paid by council in financial year 2022/23.  LaingBuisson’s calculations of confidence intervals are set out in Figure 1.</w:t>
      </w:r>
    </w:p>
    <w:p w14:paraId="146D1CE9" w14:textId="77777777" w:rsidR="00206DB2" w:rsidRPr="00206DB2" w:rsidRDefault="00206DB2" w:rsidP="00610FD0">
      <w:pPr>
        <w:spacing w:after="0" w:line="240" w:lineRule="auto"/>
        <w:jc w:val="both"/>
        <w:rPr>
          <w:rFonts w:ascii="Arial" w:hAnsi="Arial" w:cs="Arial"/>
          <w:b/>
          <w:bCs/>
        </w:rPr>
      </w:pPr>
    </w:p>
    <w:p w14:paraId="38FAD25D" w14:textId="64C5944D" w:rsidR="00206DB2" w:rsidRPr="00020C5C" w:rsidRDefault="006D4E3D" w:rsidP="00610FD0">
      <w:pPr>
        <w:ind w:right="-851"/>
        <w:jc w:val="both"/>
        <w:rPr>
          <w:rFonts w:ascii="Arial" w:hAnsi="Arial" w:cs="Arial"/>
          <w:sz w:val="20"/>
          <w:szCs w:val="20"/>
        </w:rPr>
      </w:pPr>
      <w:r w:rsidRPr="00020C5C">
        <w:rPr>
          <w:noProof/>
        </w:rPr>
        <w:drawing>
          <wp:anchor distT="0" distB="0" distL="114300" distR="114300" simplePos="0" relativeHeight="251657728" behindDoc="0" locked="0" layoutInCell="1" allowOverlap="1" wp14:anchorId="015D45E5" wp14:editId="55B7F5FF">
            <wp:simplePos x="0" y="0"/>
            <wp:positionH relativeFrom="margin">
              <wp:posOffset>580390</wp:posOffset>
            </wp:positionH>
            <wp:positionV relativeFrom="page">
              <wp:posOffset>4109448</wp:posOffset>
            </wp:positionV>
            <wp:extent cx="4996180" cy="2781300"/>
            <wp:effectExtent l="0" t="0" r="13970" b="0"/>
            <wp:wrapTopAndBottom/>
            <wp:docPr id="2" name="Chart 2">
              <a:extLst xmlns:a="http://schemas.openxmlformats.org/drawingml/2006/main">
                <a:ext uri="{FF2B5EF4-FFF2-40B4-BE49-F238E27FC236}">
                  <a16:creationId xmlns:a16="http://schemas.microsoft.com/office/drawing/2014/main" id="{63836CB4-AF9E-DAA4-8767-3D373ADE8D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06DB2" w:rsidRPr="00020C5C">
        <w:rPr>
          <w:rFonts w:ascii="Arial" w:hAnsi="Arial" w:cs="Arial"/>
          <w:sz w:val="20"/>
          <w:szCs w:val="20"/>
        </w:rPr>
        <w:t xml:space="preserve">Figure 1 </w:t>
      </w:r>
      <w:r w:rsidR="00D368B3" w:rsidRPr="00020C5C">
        <w:rPr>
          <w:rFonts w:ascii="Arial" w:hAnsi="Arial" w:cs="Arial"/>
          <w:sz w:val="20"/>
          <w:szCs w:val="20"/>
        </w:rPr>
        <w:t>CoC</w:t>
      </w:r>
      <w:r w:rsidR="00206DB2" w:rsidRPr="00020C5C">
        <w:rPr>
          <w:rFonts w:ascii="Arial" w:hAnsi="Arial" w:cs="Arial"/>
          <w:sz w:val="20"/>
          <w:szCs w:val="20"/>
        </w:rPr>
        <w:t xml:space="preserve"> median costs for April 2022 with 95% confidence intervals, and comparison with post-April 2022 fee rates paid by councils to independent sector providers</w:t>
      </w:r>
    </w:p>
    <w:p w14:paraId="36E85980" w14:textId="77777777" w:rsidR="006D4E3D" w:rsidRDefault="006D4E3D" w:rsidP="006D4E3D">
      <w:pPr>
        <w:spacing w:after="0" w:line="240" w:lineRule="auto"/>
        <w:jc w:val="both"/>
        <w:rPr>
          <w:rFonts w:ascii="Arial" w:hAnsi="Arial" w:cs="Arial"/>
        </w:rPr>
      </w:pPr>
    </w:p>
    <w:p w14:paraId="5C75EDA8" w14:textId="5B967A8D" w:rsidR="006D4E3D" w:rsidRPr="00020C5C" w:rsidRDefault="006D4E3D" w:rsidP="00020C5C">
      <w:pPr>
        <w:spacing w:after="0" w:line="240" w:lineRule="auto"/>
        <w:ind w:left="720"/>
        <w:jc w:val="both"/>
        <w:rPr>
          <w:rFonts w:ascii="Arial" w:hAnsi="Arial" w:cs="Arial"/>
          <w:sz w:val="18"/>
          <w:szCs w:val="18"/>
        </w:rPr>
      </w:pPr>
      <w:r w:rsidRPr="00020C5C">
        <w:rPr>
          <w:rFonts w:ascii="Arial" w:hAnsi="Arial" w:cs="Arial"/>
          <w:sz w:val="18"/>
          <w:szCs w:val="18"/>
        </w:rPr>
        <w:t>Note: The council’s average hourly fee rate is calculated as Gross Fees divided by Service Users, using iBCF definitions.</w:t>
      </w:r>
    </w:p>
    <w:p w14:paraId="3CAC8076" w14:textId="4090A703" w:rsidR="00610FD0" w:rsidRDefault="00610FD0" w:rsidP="00206DB2">
      <w:pPr>
        <w:ind w:right="-851"/>
        <w:rPr>
          <w:rFonts w:ascii="Arial" w:hAnsi="Arial" w:cs="Arial"/>
        </w:rPr>
      </w:pPr>
    </w:p>
    <w:p w14:paraId="0863E2A7" w14:textId="7AFADBDC" w:rsidR="006D4E3D" w:rsidRDefault="006D4E3D" w:rsidP="00206DB2">
      <w:pPr>
        <w:ind w:right="-851"/>
        <w:rPr>
          <w:rFonts w:ascii="Arial" w:hAnsi="Arial" w:cs="Arial"/>
        </w:rPr>
      </w:pPr>
    </w:p>
    <w:p w14:paraId="04D173CC" w14:textId="725409BC" w:rsidR="006D4E3D" w:rsidRDefault="006D4E3D" w:rsidP="00206DB2">
      <w:pPr>
        <w:ind w:right="-851"/>
        <w:rPr>
          <w:rFonts w:ascii="Arial" w:hAnsi="Arial" w:cs="Arial"/>
        </w:rPr>
      </w:pPr>
    </w:p>
    <w:p w14:paraId="1D066D15" w14:textId="1A9374CE" w:rsidR="006D4E3D" w:rsidRDefault="006D4E3D" w:rsidP="00206DB2">
      <w:pPr>
        <w:ind w:right="-851"/>
        <w:rPr>
          <w:rFonts w:ascii="Arial" w:hAnsi="Arial" w:cs="Arial"/>
        </w:rPr>
      </w:pPr>
    </w:p>
    <w:p w14:paraId="25F4C2D4" w14:textId="39E2F723" w:rsidR="006D4E3D" w:rsidRDefault="006D4E3D" w:rsidP="00206DB2">
      <w:pPr>
        <w:ind w:right="-851"/>
        <w:rPr>
          <w:rFonts w:ascii="Arial" w:hAnsi="Arial" w:cs="Arial"/>
        </w:rPr>
      </w:pPr>
    </w:p>
    <w:p w14:paraId="532FD56D" w14:textId="6D1B9D06" w:rsidR="006D4E3D" w:rsidRDefault="006D4E3D" w:rsidP="00206DB2">
      <w:pPr>
        <w:ind w:right="-851"/>
        <w:rPr>
          <w:rFonts w:ascii="Arial" w:hAnsi="Arial" w:cs="Arial"/>
        </w:rPr>
      </w:pPr>
    </w:p>
    <w:p w14:paraId="5763D4A2" w14:textId="0D9649AC" w:rsidR="006D4E3D" w:rsidRDefault="006D4E3D" w:rsidP="00206DB2">
      <w:pPr>
        <w:ind w:right="-851"/>
        <w:rPr>
          <w:rFonts w:ascii="Arial" w:hAnsi="Arial" w:cs="Arial"/>
        </w:rPr>
      </w:pPr>
    </w:p>
    <w:p w14:paraId="43B68849" w14:textId="77777777" w:rsidR="006D4E3D" w:rsidRDefault="006D4E3D" w:rsidP="00206DB2">
      <w:pPr>
        <w:ind w:right="-851"/>
        <w:rPr>
          <w:rFonts w:ascii="Arial" w:hAnsi="Arial" w:cs="Arial"/>
        </w:rPr>
      </w:pPr>
    </w:p>
    <w:p w14:paraId="3C9D3B0A" w14:textId="77777777" w:rsidR="006D4E3D" w:rsidRPr="00206DB2" w:rsidRDefault="006D4E3D" w:rsidP="006D4E3D">
      <w:pPr>
        <w:ind w:right="-851"/>
        <w:rPr>
          <w:rFonts w:ascii="Arial" w:hAnsi="Arial" w:cs="Arial"/>
          <w:b/>
          <w:bCs/>
        </w:rPr>
      </w:pPr>
      <w:r w:rsidRPr="00206DB2">
        <w:rPr>
          <w:rFonts w:ascii="Arial" w:hAnsi="Arial" w:cs="Arial"/>
          <w:b/>
          <w:bCs/>
        </w:rPr>
        <w:lastRenderedPageBreak/>
        <w:t>2.10 Conclusions</w:t>
      </w:r>
    </w:p>
    <w:p w14:paraId="7A51A594" w14:textId="4EF090F4" w:rsidR="00610FD0" w:rsidRDefault="006D4E3D" w:rsidP="006D4E3D">
      <w:pPr>
        <w:ind w:right="-851"/>
        <w:jc w:val="both"/>
        <w:rPr>
          <w:rFonts w:ascii="Arial" w:hAnsi="Arial" w:cs="Arial"/>
        </w:rPr>
      </w:pPr>
      <w:r w:rsidRPr="00206DB2">
        <w:rPr>
          <w:rFonts w:ascii="Arial" w:hAnsi="Arial" w:cs="Arial"/>
        </w:rPr>
        <w:t>The key item of data that the national C</w:t>
      </w:r>
      <w:r>
        <w:rPr>
          <w:rFonts w:ascii="Arial" w:hAnsi="Arial" w:cs="Arial"/>
        </w:rPr>
        <w:t>o</w:t>
      </w:r>
      <w:r w:rsidRPr="00206DB2">
        <w:rPr>
          <w:rFonts w:ascii="Arial" w:hAnsi="Arial" w:cs="Arial"/>
        </w:rPr>
        <w:t xml:space="preserve">C exercise has sought to reveal is the gap between the calculated median cost of care and the fee rate currently being paid by council, in order to inform policy decisions on the quantum of the gap to fill and the pace at which it can be filled with the resources available. </w:t>
      </w:r>
    </w:p>
    <w:p w14:paraId="5BFFC7AE" w14:textId="1A9070BC" w:rsidR="00206DB2" w:rsidRPr="00206DB2" w:rsidRDefault="00206DB2" w:rsidP="00610FD0">
      <w:pPr>
        <w:ind w:right="-851"/>
        <w:jc w:val="both"/>
        <w:rPr>
          <w:rFonts w:ascii="Arial" w:hAnsi="Arial" w:cs="Arial"/>
        </w:rPr>
      </w:pPr>
      <w:r w:rsidRPr="00206DB2">
        <w:rPr>
          <w:rFonts w:ascii="Arial" w:hAnsi="Arial" w:cs="Arial"/>
        </w:rPr>
        <w:t xml:space="preserve">Based on the information presented in this report, the current fee rates paid by Oxfordshire County Council are below the  cost of care, as calculated based on the median rate of return. However, it has been noted that there are concerns about the quality and size of the sample, and particularly regarding the business costs reflected in the medians. Therefore, consideration should be given to concerns that the medians derived may not be reasonable and reflective of the whole market. The current actual fee rate paid by Oxfordshire County Council stands at £25.20, which is outside the boundaries of a 95% confidence interval based on these medians. For comparison, the median cost per hour identified through </w:t>
      </w:r>
      <w:r w:rsidR="00610FD0">
        <w:rPr>
          <w:rFonts w:ascii="Arial" w:hAnsi="Arial" w:cs="Arial"/>
        </w:rPr>
        <w:t>CoC</w:t>
      </w:r>
      <w:r w:rsidRPr="00206DB2">
        <w:rPr>
          <w:rFonts w:ascii="Arial" w:hAnsi="Arial" w:cs="Arial"/>
        </w:rPr>
        <w:t xml:space="preserve"> is £30.12, which falls within the range of the 95% confidence interval. </w:t>
      </w:r>
    </w:p>
    <w:p w14:paraId="7E9C4A1B" w14:textId="44F0C7E1" w:rsidR="00206DB2" w:rsidRPr="00206DB2" w:rsidRDefault="00206DB2" w:rsidP="00610FD0">
      <w:pPr>
        <w:ind w:right="-851"/>
        <w:jc w:val="both"/>
        <w:rPr>
          <w:rFonts w:ascii="Arial" w:hAnsi="Arial" w:cs="Arial"/>
        </w:rPr>
      </w:pPr>
      <w:r w:rsidRPr="00206DB2">
        <w:rPr>
          <w:rFonts w:ascii="Arial" w:hAnsi="Arial" w:cs="Arial"/>
        </w:rPr>
        <w:t>The council</w:t>
      </w:r>
      <w:r w:rsidR="0005231D">
        <w:rPr>
          <w:rFonts w:ascii="Arial" w:hAnsi="Arial" w:cs="Arial"/>
        </w:rPr>
        <w:t>’s adjusted median is</w:t>
      </w:r>
      <w:r w:rsidR="00610FD0">
        <w:rPr>
          <w:rFonts w:ascii="Arial" w:hAnsi="Arial" w:cs="Arial"/>
        </w:rPr>
        <w:t xml:space="preserve"> </w:t>
      </w:r>
      <w:r w:rsidRPr="00206DB2">
        <w:rPr>
          <w:rFonts w:ascii="Arial" w:hAnsi="Arial" w:cs="Arial"/>
        </w:rPr>
        <w:t xml:space="preserve">£26.15, which sits just outside of the confidence interval, however it should be noted that the confidence intervals are based on a back-office calculation of £9.99, which it is believed is incorrectly high. Looking at the </w:t>
      </w:r>
      <w:r w:rsidR="00610FD0">
        <w:rPr>
          <w:rFonts w:ascii="Arial" w:hAnsi="Arial" w:cs="Arial"/>
        </w:rPr>
        <w:t>CoC</w:t>
      </w:r>
      <w:r w:rsidRPr="00206DB2">
        <w:rPr>
          <w:rFonts w:ascii="Arial" w:hAnsi="Arial" w:cs="Arial"/>
        </w:rPr>
        <w:t xml:space="preserve"> results all of the councils LaingBuisson have been supporting over the summer of 2022, they have been struck by the fact that, at individual council level, low response combined with high variance may mean that the gap (if any) cannot always be stated with a sufficiently high level of confidence. At the same time, LaingBuisson are conscious that if all council level data were combined into an appropriately normalised single data set for all 150 English councils, it is very likely that the percentage gap between </w:t>
      </w:r>
      <w:r w:rsidR="00927527">
        <w:rPr>
          <w:rFonts w:ascii="Arial" w:hAnsi="Arial" w:cs="Arial"/>
        </w:rPr>
        <w:t>CoC</w:t>
      </w:r>
      <w:r w:rsidR="00927527" w:rsidRPr="00206DB2">
        <w:rPr>
          <w:rFonts w:ascii="Arial" w:hAnsi="Arial" w:cs="Arial"/>
        </w:rPr>
        <w:t xml:space="preserve"> </w:t>
      </w:r>
      <w:r w:rsidRPr="00206DB2">
        <w:rPr>
          <w:rFonts w:ascii="Arial" w:hAnsi="Arial" w:cs="Arial"/>
        </w:rPr>
        <w:t xml:space="preserve">and council-paid fees could be quantified with greater confidence at national than at local level. </w:t>
      </w:r>
    </w:p>
    <w:p w14:paraId="4CD3DD3A" w14:textId="77777777" w:rsidR="00206DB2" w:rsidRPr="00206DB2" w:rsidRDefault="00206DB2" w:rsidP="00206DB2">
      <w:pPr>
        <w:spacing w:after="0" w:line="240" w:lineRule="auto"/>
        <w:ind w:right="-851"/>
        <w:rPr>
          <w:rFonts w:ascii="Arial" w:hAnsi="Arial" w:cs="Arial"/>
          <w:b/>
          <w:bCs/>
          <w:sz w:val="14"/>
          <w:szCs w:val="14"/>
        </w:rPr>
      </w:pPr>
    </w:p>
    <w:p w14:paraId="76DAD7CD" w14:textId="77777777" w:rsidR="00206DB2" w:rsidRPr="00206DB2" w:rsidRDefault="00206DB2" w:rsidP="00206DB2">
      <w:pPr>
        <w:spacing w:after="0" w:line="240" w:lineRule="auto"/>
        <w:ind w:right="-851"/>
        <w:rPr>
          <w:rFonts w:ascii="Arial" w:hAnsi="Arial" w:cs="Arial"/>
          <w:b/>
          <w:bCs/>
          <w:sz w:val="14"/>
          <w:szCs w:val="14"/>
        </w:rPr>
      </w:pPr>
    </w:p>
    <w:p w14:paraId="4495DC97" w14:textId="77777777" w:rsidR="00206DB2" w:rsidRPr="00206DB2" w:rsidRDefault="00206DB2" w:rsidP="00206DB2">
      <w:pPr>
        <w:spacing w:after="0" w:line="240" w:lineRule="auto"/>
        <w:ind w:right="-851"/>
        <w:rPr>
          <w:rFonts w:ascii="Arial" w:hAnsi="Arial" w:cs="Arial"/>
          <w:b/>
          <w:bCs/>
          <w:sz w:val="14"/>
          <w:szCs w:val="14"/>
        </w:rPr>
      </w:pPr>
    </w:p>
    <w:p w14:paraId="443C7648" w14:textId="77777777" w:rsidR="00206DB2" w:rsidRPr="00206DB2" w:rsidRDefault="00206DB2" w:rsidP="00206DB2">
      <w:pPr>
        <w:spacing w:after="0" w:line="240" w:lineRule="auto"/>
        <w:ind w:right="-851"/>
        <w:rPr>
          <w:rFonts w:ascii="Arial" w:hAnsi="Arial" w:cs="Arial"/>
          <w:b/>
          <w:bCs/>
          <w:sz w:val="14"/>
          <w:szCs w:val="14"/>
        </w:rPr>
      </w:pPr>
    </w:p>
    <w:p w14:paraId="5E92716F" w14:textId="77777777" w:rsidR="00206DB2" w:rsidRPr="00206DB2" w:rsidRDefault="00206DB2" w:rsidP="00206DB2">
      <w:pPr>
        <w:spacing w:after="0" w:line="240" w:lineRule="auto"/>
        <w:ind w:right="-851"/>
        <w:rPr>
          <w:rFonts w:ascii="Arial" w:hAnsi="Arial" w:cs="Arial"/>
          <w:b/>
          <w:bCs/>
          <w:sz w:val="14"/>
          <w:szCs w:val="14"/>
        </w:rPr>
      </w:pPr>
    </w:p>
    <w:p w14:paraId="3316A1E4" w14:textId="77777777" w:rsidR="00206DB2" w:rsidRPr="00206DB2" w:rsidRDefault="00206DB2" w:rsidP="00206DB2">
      <w:pPr>
        <w:spacing w:after="0" w:line="240" w:lineRule="auto"/>
        <w:ind w:right="-851"/>
        <w:rPr>
          <w:rFonts w:ascii="Arial" w:hAnsi="Arial" w:cs="Arial"/>
          <w:b/>
          <w:bCs/>
          <w:sz w:val="14"/>
          <w:szCs w:val="14"/>
        </w:rPr>
      </w:pPr>
    </w:p>
    <w:p w14:paraId="064D7742" w14:textId="77777777" w:rsidR="00206DB2" w:rsidRPr="00206DB2" w:rsidRDefault="00206DB2" w:rsidP="00206DB2">
      <w:pPr>
        <w:spacing w:after="0" w:line="240" w:lineRule="auto"/>
        <w:ind w:right="-851"/>
        <w:rPr>
          <w:rFonts w:ascii="Arial" w:hAnsi="Arial" w:cs="Arial"/>
          <w:b/>
          <w:bCs/>
          <w:sz w:val="14"/>
          <w:szCs w:val="14"/>
        </w:rPr>
      </w:pPr>
    </w:p>
    <w:p w14:paraId="64E4C0C4" w14:textId="77777777" w:rsidR="00206DB2" w:rsidRPr="00206DB2" w:rsidRDefault="00206DB2" w:rsidP="00206DB2">
      <w:pPr>
        <w:spacing w:after="0" w:line="240" w:lineRule="auto"/>
        <w:ind w:right="-851"/>
        <w:rPr>
          <w:rFonts w:ascii="Arial" w:hAnsi="Arial" w:cs="Arial"/>
          <w:b/>
          <w:bCs/>
          <w:sz w:val="14"/>
          <w:szCs w:val="14"/>
        </w:rPr>
      </w:pPr>
    </w:p>
    <w:p w14:paraId="36C41C56" w14:textId="77777777" w:rsidR="00206DB2" w:rsidRPr="00206DB2" w:rsidRDefault="00206DB2" w:rsidP="00206DB2">
      <w:pPr>
        <w:spacing w:after="0" w:line="240" w:lineRule="auto"/>
        <w:ind w:right="-851"/>
        <w:rPr>
          <w:rFonts w:ascii="Arial" w:hAnsi="Arial" w:cs="Arial"/>
          <w:b/>
          <w:bCs/>
          <w:sz w:val="14"/>
          <w:szCs w:val="14"/>
        </w:rPr>
      </w:pPr>
    </w:p>
    <w:p w14:paraId="1C7FCFC2" w14:textId="77777777" w:rsidR="00206DB2" w:rsidRPr="00206DB2" w:rsidRDefault="00206DB2" w:rsidP="00206DB2">
      <w:pPr>
        <w:spacing w:after="0" w:line="240" w:lineRule="auto"/>
        <w:ind w:right="-851"/>
        <w:rPr>
          <w:rFonts w:ascii="Arial" w:hAnsi="Arial" w:cs="Arial"/>
          <w:b/>
          <w:bCs/>
          <w:sz w:val="14"/>
          <w:szCs w:val="14"/>
        </w:rPr>
      </w:pPr>
    </w:p>
    <w:p w14:paraId="6E520803" w14:textId="77777777" w:rsidR="00206DB2" w:rsidRPr="00206DB2" w:rsidRDefault="00206DB2" w:rsidP="00206DB2">
      <w:pPr>
        <w:spacing w:after="0" w:line="240" w:lineRule="auto"/>
        <w:ind w:right="-851"/>
        <w:rPr>
          <w:rFonts w:ascii="Arial" w:hAnsi="Arial" w:cs="Arial"/>
          <w:b/>
          <w:bCs/>
          <w:sz w:val="14"/>
          <w:szCs w:val="14"/>
        </w:rPr>
      </w:pPr>
    </w:p>
    <w:p w14:paraId="5C0A4051" w14:textId="77777777" w:rsidR="00206DB2" w:rsidRPr="00206DB2" w:rsidRDefault="00206DB2" w:rsidP="00206DB2">
      <w:pPr>
        <w:spacing w:after="0" w:line="240" w:lineRule="auto"/>
        <w:ind w:right="-851"/>
        <w:rPr>
          <w:rFonts w:ascii="Arial" w:hAnsi="Arial" w:cs="Arial"/>
          <w:b/>
          <w:bCs/>
          <w:sz w:val="14"/>
          <w:szCs w:val="14"/>
        </w:rPr>
      </w:pPr>
    </w:p>
    <w:p w14:paraId="10524C8E" w14:textId="77777777" w:rsidR="00206DB2" w:rsidRPr="00206DB2" w:rsidRDefault="00206DB2" w:rsidP="00206DB2">
      <w:pPr>
        <w:spacing w:after="0" w:line="240" w:lineRule="auto"/>
        <w:ind w:right="-851"/>
        <w:rPr>
          <w:rFonts w:ascii="Arial" w:hAnsi="Arial" w:cs="Arial"/>
          <w:sz w:val="14"/>
          <w:szCs w:val="14"/>
        </w:rPr>
      </w:pPr>
      <w:r w:rsidRPr="00206DB2">
        <w:rPr>
          <w:rFonts w:ascii="Arial" w:hAnsi="Arial" w:cs="Arial"/>
          <w:sz w:val="14"/>
          <w:szCs w:val="14"/>
        </w:rPr>
        <w:br w:type="page"/>
      </w:r>
    </w:p>
    <w:p w14:paraId="0D1E2051" w14:textId="77777777" w:rsidR="009F6943" w:rsidRPr="009F6943" w:rsidRDefault="00206DB2" w:rsidP="00206DB2">
      <w:pPr>
        <w:ind w:right="-851"/>
        <w:rPr>
          <w:rFonts w:ascii="Arial" w:hAnsi="Arial" w:cs="Arial"/>
          <w:b/>
          <w:bCs/>
        </w:rPr>
      </w:pPr>
      <w:r w:rsidRPr="009F6943">
        <w:rPr>
          <w:rFonts w:ascii="Arial" w:hAnsi="Arial" w:cs="Arial"/>
          <w:b/>
          <w:bCs/>
        </w:rPr>
        <w:lastRenderedPageBreak/>
        <w:t>APPENDIX 1</w:t>
      </w:r>
      <w:r w:rsidR="009F6943" w:rsidRPr="009F6943">
        <w:rPr>
          <w:b/>
          <w:bCs/>
        </w:rPr>
        <w:t xml:space="preserve"> of the </w:t>
      </w:r>
      <w:r w:rsidR="009F6943" w:rsidRPr="009F6943">
        <w:rPr>
          <w:rFonts w:ascii="Arial" w:hAnsi="Arial" w:cs="Arial"/>
          <w:b/>
          <w:bCs/>
        </w:rPr>
        <w:t>Domiciliary Care</w:t>
      </w:r>
      <w:r w:rsidRPr="009F6943">
        <w:rPr>
          <w:rFonts w:ascii="Arial" w:hAnsi="Arial" w:cs="Arial"/>
          <w:b/>
          <w:bCs/>
        </w:rPr>
        <w:t xml:space="preserve"> </w:t>
      </w:r>
      <w:r w:rsidR="009F6943" w:rsidRPr="009F6943">
        <w:rPr>
          <w:rFonts w:ascii="Arial" w:hAnsi="Arial" w:cs="Arial"/>
          <w:b/>
          <w:bCs/>
        </w:rPr>
        <w:t>Report</w:t>
      </w:r>
    </w:p>
    <w:p w14:paraId="404F90FE" w14:textId="6186D820" w:rsidR="00206DB2" w:rsidRPr="00206DB2" w:rsidRDefault="00206DB2" w:rsidP="00206DB2">
      <w:pPr>
        <w:ind w:right="-851"/>
        <w:rPr>
          <w:rFonts w:ascii="Arial" w:hAnsi="Arial" w:cs="Arial"/>
          <w:sz w:val="14"/>
          <w:szCs w:val="14"/>
        </w:rPr>
      </w:pPr>
      <w:r w:rsidRPr="00206DB2">
        <w:rPr>
          <w:rFonts w:ascii="Arial" w:hAnsi="Arial" w:cs="Arial"/>
          <w:b/>
          <w:bCs/>
        </w:rPr>
        <w:t>EVIDENCE BASE FOR RETURN ON OPERATIONS BENCHMARK</w:t>
      </w:r>
    </w:p>
    <w:p w14:paraId="477A3CF6" w14:textId="27DD0A0E" w:rsidR="00206DB2" w:rsidRPr="00206DB2" w:rsidRDefault="00206DB2" w:rsidP="00610FD0">
      <w:pPr>
        <w:ind w:right="-851"/>
        <w:jc w:val="both"/>
        <w:rPr>
          <w:rFonts w:ascii="Arial" w:hAnsi="Arial" w:cs="Arial"/>
        </w:rPr>
      </w:pPr>
      <w:r w:rsidRPr="00206DB2">
        <w:rPr>
          <w:rFonts w:ascii="Arial" w:hAnsi="Arial" w:cs="Arial"/>
        </w:rPr>
        <w:t xml:space="preserve">The council has favoured a 5% operating return. The rationale and evidence are discussed at length in Appendix 1 of the </w:t>
      </w:r>
      <w:r w:rsidR="00BE2ACF">
        <w:rPr>
          <w:rFonts w:ascii="Arial" w:hAnsi="Arial" w:cs="Arial"/>
        </w:rPr>
        <w:t xml:space="preserve">CoC </w:t>
      </w:r>
      <w:r w:rsidRPr="00206DB2">
        <w:rPr>
          <w:rFonts w:ascii="Arial" w:hAnsi="Arial" w:cs="Arial"/>
        </w:rPr>
        <w:t xml:space="preserve"> care home report, the relevant sections are repeated here for the reader’s convenience. The LaingBuisson </w:t>
      </w:r>
      <w:r w:rsidR="00BE2ACF">
        <w:rPr>
          <w:rFonts w:ascii="Arial" w:hAnsi="Arial" w:cs="Arial"/>
        </w:rPr>
        <w:t xml:space="preserve"> C</w:t>
      </w:r>
      <w:r w:rsidR="0029380F">
        <w:rPr>
          <w:rFonts w:ascii="Arial" w:hAnsi="Arial" w:cs="Arial"/>
        </w:rPr>
        <w:t>oC</w:t>
      </w:r>
      <w:r w:rsidRPr="00206DB2">
        <w:rPr>
          <w:rFonts w:ascii="Arial" w:hAnsi="Arial" w:cs="Arial"/>
        </w:rPr>
        <w:t xml:space="preserve"> report on care homes concluded with a recommendation for a 10% mark-up on operating costs, representing a reasonable return on operations for care home providers. </w:t>
      </w:r>
    </w:p>
    <w:p w14:paraId="3781774B" w14:textId="1CE8B84D" w:rsidR="00206DB2" w:rsidRPr="00206DB2" w:rsidRDefault="00206DB2" w:rsidP="00610FD0">
      <w:pPr>
        <w:ind w:right="-851"/>
        <w:jc w:val="both"/>
        <w:rPr>
          <w:rFonts w:ascii="Arial" w:hAnsi="Arial" w:cs="Arial"/>
        </w:rPr>
      </w:pPr>
      <w:r w:rsidRPr="00206DB2">
        <w:rPr>
          <w:rFonts w:ascii="Arial" w:hAnsi="Arial" w:cs="Arial"/>
        </w:rPr>
        <w:t xml:space="preserve">LaingBuisson’s view is that the same mark-up of 10% could legitimately be applied to domiciliary care operating costs. The rationale is that, once the property costs have been stripped out of care homes, the operating business </w:t>
      </w:r>
      <w:r w:rsidR="00610FD0">
        <w:rPr>
          <w:rFonts w:ascii="Arial" w:hAnsi="Arial" w:cs="Arial"/>
        </w:rPr>
        <w:t>-</w:t>
      </w:r>
      <w:r w:rsidRPr="00206DB2">
        <w:rPr>
          <w:rFonts w:ascii="Arial" w:hAnsi="Arial" w:cs="Arial"/>
        </w:rPr>
        <w:t xml:space="preserve"> employing and managing staff to deliver care and support – has more similarities than differences. Therefore, 10%  is an equally appropriate mark-up on domiciliary care operating costs and head office costs. For the council this statement lends itself to supporting a 5% operating return on home care as well as care homes.</w:t>
      </w:r>
    </w:p>
    <w:p w14:paraId="7CCA4E7C" w14:textId="77777777" w:rsidR="00206DB2" w:rsidRPr="00206DB2" w:rsidRDefault="00206DB2" w:rsidP="00610FD0">
      <w:pPr>
        <w:ind w:right="-851"/>
        <w:jc w:val="both"/>
        <w:rPr>
          <w:rFonts w:ascii="Arial" w:hAnsi="Arial" w:cs="Arial"/>
        </w:rPr>
      </w:pPr>
      <w:r w:rsidRPr="00206DB2">
        <w:rPr>
          <w:rFonts w:ascii="Arial" w:hAnsi="Arial" w:cs="Arial"/>
        </w:rPr>
        <w:t xml:space="preserve">LaingBuisson have also considered a supporting approach to determining a return on operations benchmark, based on historic returns posted by domiciliary care, and supported living groups. LaingBuisson maintains structured data on profit and loss accounts posted on Companies House by the full range of independent sector operators of health and social care in the UK, going back for more than a decade. Nearly all domiciliary groups in this financial data set are for-profit. All not-for-profit groups specialise in supported living for younger adults. </w:t>
      </w:r>
    </w:p>
    <w:p w14:paraId="7831EDDE" w14:textId="26F310F4" w:rsidR="00206DB2" w:rsidRPr="00206DB2" w:rsidRDefault="00206DB2" w:rsidP="00610FD0">
      <w:pPr>
        <w:ind w:right="-851"/>
        <w:jc w:val="both"/>
        <w:rPr>
          <w:rFonts w:ascii="Arial" w:hAnsi="Arial" w:cs="Arial"/>
        </w:rPr>
      </w:pPr>
      <w:r w:rsidRPr="00206DB2">
        <w:rPr>
          <w:rFonts w:ascii="Arial" w:hAnsi="Arial" w:cs="Arial"/>
        </w:rPr>
        <w:t>Trends in the profitability of for-profit groups over the period 2010 - 2020 are illustrated in Figure 1.The data support a narrative frequently expressed by independent sector interests, which is that financial pressures following the implementation of austerity measures from 2011/12 had a negative impact on profitability. The aggregate mark-up of companies fell from a base of a little over 10% at the turn of the decade to a low point of 3.6% for statutory accounts periods ending in 2016, before partially recovering to 6.9% for statutory accounts periods ending in 2020. Data for 2021 are as yet incomplete.</w:t>
      </w:r>
    </w:p>
    <w:p w14:paraId="2E7F638C" w14:textId="77777777" w:rsidR="00206DB2" w:rsidRPr="00206DB2" w:rsidRDefault="00206DB2" w:rsidP="00610FD0">
      <w:pPr>
        <w:ind w:right="-851"/>
        <w:jc w:val="both"/>
        <w:rPr>
          <w:rFonts w:ascii="Arial" w:hAnsi="Arial" w:cs="Arial"/>
        </w:rPr>
      </w:pPr>
      <w:r w:rsidRPr="00206DB2">
        <w:rPr>
          <w:rFonts w:ascii="Arial" w:hAnsi="Arial" w:cs="Arial"/>
        </w:rPr>
        <w:t>The aggregate revenue of for-profit domiciliary care companies covered in Figure 1 in 2020 was £1.3 billion, which represents 20% of the total UK domiciliary care market of £6.4 billion in 2020/21, as estimated by LaingBuisson. Larger companies with full profit and loss accounts are more exposed to local authority funding than the market as a whole. Also, profitable franchise providers which typically focus on private pay are excluded from the analysis because their results do not consolidate their individual franchisees. Despite the skewed sample, LaingBuisson considers that the trends in profitability illustrated in Figure 1 are supportive of 10% as a mark-up norm for a competitive sector during a time (pre-austerity) when it was not subject to excessive pressure on margins.</w:t>
      </w:r>
    </w:p>
    <w:p w14:paraId="681ABC1C" w14:textId="55DE3635" w:rsidR="00206DB2" w:rsidRDefault="00206DB2" w:rsidP="00610FD0">
      <w:pPr>
        <w:ind w:right="-851"/>
        <w:jc w:val="both"/>
        <w:rPr>
          <w:rFonts w:ascii="Arial" w:hAnsi="Arial" w:cs="Arial"/>
        </w:rPr>
      </w:pPr>
      <w:r w:rsidRPr="00206DB2">
        <w:rPr>
          <w:rFonts w:ascii="Arial" w:hAnsi="Arial" w:cs="Arial"/>
        </w:rPr>
        <w:t>LaingBuisson recommend a 10% mark-up on operating and head office costs as an</w:t>
      </w:r>
      <w:r w:rsidRPr="00206DB2">
        <w:rPr>
          <w:rFonts w:ascii="Arial" w:hAnsi="Arial" w:cs="Arial"/>
          <w:b/>
          <w:bCs/>
        </w:rPr>
        <w:t xml:space="preserve"> </w:t>
      </w:r>
      <w:r w:rsidRPr="00206DB2">
        <w:rPr>
          <w:rFonts w:ascii="Arial" w:hAnsi="Arial" w:cs="Arial"/>
        </w:rPr>
        <w:t>appropriate return on operations for domiciliary care providers.</w:t>
      </w:r>
    </w:p>
    <w:p w14:paraId="48D279BA" w14:textId="4D94B2AE" w:rsidR="00610FD0" w:rsidRDefault="00610FD0" w:rsidP="00610FD0">
      <w:pPr>
        <w:ind w:right="-851"/>
        <w:jc w:val="both"/>
        <w:rPr>
          <w:rFonts w:ascii="Arial" w:hAnsi="Arial" w:cs="Arial"/>
        </w:rPr>
      </w:pPr>
    </w:p>
    <w:p w14:paraId="5C979C72" w14:textId="3F599615" w:rsidR="00610FD0" w:rsidRDefault="00610FD0" w:rsidP="00610FD0">
      <w:pPr>
        <w:ind w:right="-851"/>
        <w:jc w:val="both"/>
        <w:rPr>
          <w:rFonts w:ascii="Arial" w:hAnsi="Arial" w:cs="Arial"/>
        </w:rPr>
      </w:pPr>
    </w:p>
    <w:p w14:paraId="6ADF8735" w14:textId="1C52E575" w:rsidR="00610FD0" w:rsidRDefault="00610FD0" w:rsidP="00610FD0">
      <w:pPr>
        <w:ind w:right="-851"/>
        <w:jc w:val="both"/>
        <w:rPr>
          <w:rFonts w:ascii="Arial" w:hAnsi="Arial" w:cs="Arial"/>
        </w:rPr>
      </w:pPr>
    </w:p>
    <w:p w14:paraId="33396DE1" w14:textId="77777777" w:rsidR="00610FD0" w:rsidRPr="00206DB2" w:rsidRDefault="00610FD0" w:rsidP="00610FD0">
      <w:pPr>
        <w:ind w:right="-851"/>
        <w:jc w:val="both"/>
        <w:rPr>
          <w:rFonts w:ascii="Arial" w:hAnsi="Arial" w:cs="Arial"/>
        </w:rPr>
      </w:pPr>
    </w:p>
    <w:p w14:paraId="64AF7E99" w14:textId="77777777" w:rsidR="00206DB2" w:rsidRPr="00206DB2" w:rsidRDefault="00206DB2" w:rsidP="00610FD0">
      <w:pPr>
        <w:ind w:right="-851"/>
        <w:jc w:val="both"/>
        <w:rPr>
          <w:rFonts w:ascii="Arial" w:hAnsi="Arial" w:cs="Arial"/>
          <w:b/>
          <w:bCs/>
          <w:sz w:val="18"/>
          <w:szCs w:val="18"/>
        </w:rPr>
      </w:pPr>
      <w:r w:rsidRPr="00206DB2">
        <w:rPr>
          <w:rFonts w:ascii="Arial" w:hAnsi="Arial" w:cs="Arial"/>
          <w:b/>
          <w:bCs/>
          <w:sz w:val="18"/>
          <w:szCs w:val="18"/>
        </w:rPr>
        <w:lastRenderedPageBreak/>
        <w:t>Figure 1 Aggregate mark-up on operating costs among larger, for-profit domiciliary care providers which have posted statutory accounts with full profit and loss at Companies House, UK 2010 - 2020</w:t>
      </w:r>
    </w:p>
    <w:p w14:paraId="3B989A29" w14:textId="77777777" w:rsidR="00206DB2" w:rsidRPr="00206DB2" w:rsidRDefault="00206DB2" w:rsidP="00206DB2">
      <w:pPr>
        <w:ind w:right="-851"/>
        <w:jc w:val="center"/>
        <w:rPr>
          <w:rFonts w:ascii="Arial" w:hAnsi="Arial" w:cs="Arial"/>
        </w:rPr>
      </w:pPr>
      <w:r w:rsidRPr="00206DB2">
        <w:rPr>
          <w:rFonts w:ascii="Arial" w:hAnsi="Arial" w:cs="Arial"/>
          <w:noProof/>
        </w:rPr>
        <w:drawing>
          <wp:inline distT="0" distB="0" distL="0" distR="0" wp14:anchorId="5BF135F8" wp14:editId="248DDD25">
            <wp:extent cx="5375910" cy="2598019"/>
            <wp:effectExtent l="0" t="0" r="0" b="0"/>
            <wp:docPr id="3" name="Picture 3" descr="Figure 1 illustrates the mark-up operating costs among larger, for profit domiciliary care provider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llustrates the mark-up operating costs among larger, for profit domiciliary care providers. ">
                      <a:extLst>
                        <a:ext uri="{C183D7F6-B498-43B3-948B-1728B52AA6E4}">
                          <adec:decorative xmlns:adec="http://schemas.microsoft.com/office/drawing/2017/decorative" val="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8428" cy="2599236"/>
                    </a:xfrm>
                    <a:prstGeom prst="rect">
                      <a:avLst/>
                    </a:prstGeom>
                    <a:noFill/>
                    <a:ln>
                      <a:noFill/>
                    </a:ln>
                  </pic:spPr>
                </pic:pic>
              </a:graphicData>
            </a:graphic>
          </wp:inline>
        </w:drawing>
      </w:r>
    </w:p>
    <w:p w14:paraId="685EE3EB" w14:textId="77777777" w:rsidR="00206DB2" w:rsidRPr="00206DB2" w:rsidRDefault="00206DB2" w:rsidP="00206DB2">
      <w:pPr>
        <w:ind w:right="-851"/>
        <w:rPr>
          <w:rFonts w:ascii="Arial" w:hAnsi="Arial" w:cs="Arial"/>
        </w:rPr>
      </w:pPr>
      <w:r w:rsidRPr="00206DB2">
        <w:rPr>
          <w:rFonts w:ascii="Arial" w:hAnsi="Arial" w:cs="Arial"/>
          <w:noProof/>
        </w:rPr>
        <w:drawing>
          <wp:inline distT="0" distB="0" distL="0" distR="0" wp14:anchorId="3B3CB4DF" wp14:editId="17537B07">
            <wp:extent cx="5490845" cy="111760"/>
            <wp:effectExtent l="0" t="0" r="0" b="2540"/>
            <wp:docPr id="14" name="Picture 14" descr="Financial period ending in tho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nancial period ending in those ye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0845" cy="111760"/>
                    </a:xfrm>
                    <a:prstGeom prst="rect">
                      <a:avLst/>
                    </a:prstGeom>
                    <a:noFill/>
                    <a:ln>
                      <a:noFill/>
                    </a:ln>
                  </pic:spPr>
                </pic:pic>
              </a:graphicData>
            </a:graphic>
          </wp:inline>
        </w:drawing>
      </w:r>
    </w:p>
    <w:p w14:paraId="1B5AA416" w14:textId="77777777" w:rsidR="00206DB2" w:rsidRPr="00206DB2" w:rsidRDefault="00206DB2" w:rsidP="00206DB2">
      <w:pPr>
        <w:ind w:right="-851"/>
        <w:rPr>
          <w:rFonts w:ascii="Arial" w:hAnsi="Arial" w:cs="Arial"/>
        </w:rPr>
      </w:pPr>
      <w:r w:rsidRPr="00206DB2">
        <w:rPr>
          <w:rFonts w:ascii="Arial" w:hAnsi="Arial" w:cs="Arial"/>
        </w:rPr>
        <w:t>The council has not adopted this recommendation, the rationale is set out below.</w:t>
      </w:r>
    </w:p>
    <w:p w14:paraId="7F55A12D" w14:textId="77777777" w:rsidR="00206DB2" w:rsidRPr="00206DB2" w:rsidRDefault="00206DB2" w:rsidP="00206DB2">
      <w:pPr>
        <w:keepNext/>
        <w:tabs>
          <w:tab w:val="num" w:pos="0"/>
        </w:tabs>
        <w:suppressAutoHyphens/>
        <w:spacing w:after="0" w:line="240" w:lineRule="auto"/>
        <w:ind w:right="-851"/>
        <w:outlineLvl w:val="0"/>
        <w:rPr>
          <w:rFonts w:ascii="Arial" w:eastAsia="Times New Roman" w:hAnsi="Arial" w:cs="Arial"/>
          <w:b/>
          <w:bCs/>
          <w:color w:val="auto"/>
          <w:lang w:eastAsia="en-GB"/>
        </w:rPr>
      </w:pPr>
      <w:r w:rsidRPr="00206DB2">
        <w:rPr>
          <w:rFonts w:ascii="Arial" w:eastAsia="Times New Roman" w:hAnsi="Arial" w:cs="Arial"/>
          <w:b/>
          <w:bCs/>
          <w:color w:val="auto"/>
          <w:lang w:eastAsia="en-GB"/>
        </w:rPr>
        <w:t>EVIDENCE BASE FOR RETURN ON CAPITAL AND OPERATING PROFIT PARAMETERS</w:t>
      </w:r>
    </w:p>
    <w:p w14:paraId="13153C9A" w14:textId="77777777" w:rsidR="00206DB2" w:rsidRPr="00206DB2" w:rsidRDefault="00206DB2" w:rsidP="00206DB2">
      <w:pPr>
        <w:spacing w:after="0" w:line="280" w:lineRule="exact"/>
        <w:ind w:right="-851"/>
        <w:jc w:val="both"/>
        <w:rPr>
          <w:rFonts w:ascii="Arial" w:hAnsi="Arial" w:cs="Arial"/>
          <w:color w:val="auto"/>
          <w:lang w:eastAsia="en-GB"/>
        </w:rPr>
      </w:pPr>
    </w:p>
    <w:p w14:paraId="30C2A029" w14:textId="77777777" w:rsidR="00206DB2" w:rsidRPr="00206DB2" w:rsidRDefault="00206DB2" w:rsidP="00206DB2">
      <w:pPr>
        <w:tabs>
          <w:tab w:val="num" w:pos="0"/>
          <w:tab w:val="right" w:pos="9071"/>
        </w:tabs>
        <w:suppressAutoHyphens/>
        <w:spacing w:after="0" w:line="260" w:lineRule="exact"/>
        <w:ind w:right="-851"/>
        <w:jc w:val="both"/>
        <w:outlineLvl w:val="1"/>
        <w:rPr>
          <w:rFonts w:ascii="Arial" w:eastAsia="Times New Roman" w:hAnsi="Arial" w:cs="Arial"/>
          <w:color w:val="auto"/>
          <w:lang w:eastAsia="en-GB"/>
        </w:rPr>
      </w:pPr>
      <w:r w:rsidRPr="00206DB2">
        <w:rPr>
          <w:rFonts w:ascii="Arial" w:eastAsia="Times New Roman" w:hAnsi="Arial" w:cs="Arial"/>
          <w:color w:val="auto"/>
          <w:lang w:eastAsia="en-GB"/>
        </w:rPr>
        <w:t>A1.1 Introduction</w:t>
      </w:r>
    </w:p>
    <w:p w14:paraId="358711EC" w14:textId="77777777" w:rsidR="00206DB2" w:rsidRPr="00206DB2" w:rsidRDefault="00206DB2" w:rsidP="00206DB2">
      <w:pPr>
        <w:spacing w:after="0" w:line="280" w:lineRule="exact"/>
        <w:ind w:right="-851"/>
        <w:jc w:val="both"/>
        <w:rPr>
          <w:rFonts w:ascii="Arial" w:hAnsi="Arial" w:cs="Arial"/>
          <w:lang w:eastAsia="en-GB"/>
        </w:rPr>
      </w:pPr>
    </w:p>
    <w:p w14:paraId="19C75A16" w14:textId="77777777" w:rsidR="00206DB2" w:rsidRPr="00206DB2" w:rsidRDefault="00206DB2" w:rsidP="00206DB2">
      <w:pPr>
        <w:spacing w:after="0" w:line="280" w:lineRule="exact"/>
        <w:ind w:right="-851"/>
        <w:jc w:val="both"/>
        <w:rPr>
          <w:rFonts w:ascii="Arial" w:hAnsi="Arial" w:cs="Arial"/>
          <w:color w:val="auto"/>
          <w:lang w:eastAsia="en-GB"/>
        </w:rPr>
      </w:pPr>
      <w:r w:rsidRPr="00206DB2">
        <w:rPr>
          <w:rFonts w:ascii="Arial" w:hAnsi="Arial" w:cs="Arial"/>
          <w:color w:val="auto"/>
          <w:lang w:eastAsia="en-GB"/>
        </w:rPr>
        <w:t>Total costs of care services are made up of Operating Costs, derived from responses to validated toolkits, plus the following two items, which DHSC advises may be determined by councils based on available evidence:</w:t>
      </w:r>
    </w:p>
    <w:p w14:paraId="0FD7BF2F" w14:textId="77777777" w:rsidR="00206DB2" w:rsidRPr="00206DB2" w:rsidRDefault="00206DB2" w:rsidP="00206DB2">
      <w:pPr>
        <w:spacing w:after="0" w:line="280" w:lineRule="exact"/>
        <w:ind w:right="-851"/>
        <w:jc w:val="both"/>
        <w:rPr>
          <w:rFonts w:ascii="Arial" w:hAnsi="Arial" w:cs="Arial"/>
          <w:color w:val="auto"/>
          <w:lang w:eastAsia="en-GB"/>
        </w:rPr>
      </w:pPr>
    </w:p>
    <w:p w14:paraId="62CE2299" w14:textId="77777777" w:rsidR="00206DB2" w:rsidRPr="00206DB2" w:rsidRDefault="00206DB2" w:rsidP="00206DB2">
      <w:pPr>
        <w:numPr>
          <w:ilvl w:val="0"/>
          <w:numId w:val="5"/>
        </w:numPr>
        <w:suppressAutoHyphens/>
        <w:spacing w:after="0" w:line="280" w:lineRule="exact"/>
        <w:ind w:left="0" w:right="-851"/>
        <w:jc w:val="both"/>
        <w:rPr>
          <w:rFonts w:ascii="Arial" w:eastAsia="Times New Roman" w:hAnsi="Arial" w:cs="Arial"/>
          <w:color w:val="auto"/>
          <w:lang w:eastAsia="en-GB"/>
        </w:rPr>
      </w:pPr>
      <w:r w:rsidRPr="00206DB2">
        <w:rPr>
          <w:rFonts w:ascii="Arial" w:eastAsia="Times New Roman" w:hAnsi="Arial" w:cs="Arial"/>
          <w:color w:val="auto"/>
          <w:lang w:eastAsia="en-GB"/>
        </w:rPr>
        <w:t>Return on Capital invested in accommodation assets PLUS return on operations, for care homes (65+); and</w:t>
      </w:r>
    </w:p>
    <w:p w14:paraId="19122E16" w14:textId="77777777" w:rsidR="00206DB2" w:rsidRPr="00206DB2" w:rsidRDefault="00206DB2" w:rsidP="00206DB2">
      <w:pPr>
        <w:numPr>
          <w:ilvl w:val="0"/>
          <w:numId w:val="5"/>
        </w:numPr>
        <w:suppressAutoHyphens/>
        <w:spacing w:after="0" w:line="280" w:lineRule="exact"/>
        <w:ind w:left="0" w:right="-851"/>
        <w:jc w:val="both"/>
        <w:rPr>
          <w:rFonts w:ascii="Arial" w:eastAsia="Times New Roman" w:hAnsi="Arial" w:cs="Arial"/>
          <w:color w:val="auto"/>
          <w:lang w:eastAsia="en-GB"/>
        </w:rPr>
      </w:pPr>
      <w:r w:rsidRPr="00206DB2">
        <w:rPr>
          <w:rFonts w:ascii="Arial" w:eastAsia="Times New Roman" w:hAnsi="Arial" w:cs="Arial"/>
          <w:color w:val="auto"/>
          <w:lang w:eastAsia="en-GB"/>
        </w:rPr>
        <w:t>Return on Operations only for domiciliary care (18+)</w:t>
      </w:r>
    </w:p>
    <w:p w14:paraId="697EC80C" w14:textId="77777777" w:rsidR="00206DB2" w:rsidRPr="00206DB2" w:rsidRDefault="00206DB2" w:rsidP="00206DB2">
      <w:pPr>
        <w:spacing w:after="0" w:line="280" w:lineRule="exact"/>
        <w:ind w:right="-851"/>
        <w:jc w:val="both"/>
        <w:rPr>
          <w:rFonts w:ascii="Arial" w:hAnsi="Arial" w:cs="Arial"/>
          <w:color w:val="auto"/>
          <w:lang w:eastAsia="en-GB"/>
        </w:rPr>
      </w:pPr>
    </w:p>
    <w:p w14:paraId="3FCD6E31" w14:textId="77777777" w:rsidR="00206DB2" w:rsidRPr="00206DB2" w:rsidRDefault="00206DB2" w:rsidP="00206DB2">
      <w:pPr>
        <w:spacing w:after="0" w:line="280" w:lineRule="exact"/>
        <w:ind w:right="-851"/>
        <w:jc w:val="both"/>
        <w:rPr>
          <w:rFonts w:ascii="Arial" w:hAnsi="Arial" w:cs="Arial"/>
          <w:color w:val="auto"/>
          <w:lang w:eastAsia="en-GB"/>
        </w:rPr>
      </w:pPr>
      <w:r w:rsidRPr="00206DB2">
        <w:rPr>
          <w:rFonts w:ascii="Arial" w:hAnsi="Arial" w:cs="Arial"/>
          <w:color w:val="auto"/>
          <w:lang w:eastAsia="en-GB"/>
        </w:rPr>
        <w:t>DHSC guidance on return on operations is reproduced in Box 2. DHSC guidance is fully consistent with the framework adopted in Laing Buisson’s Care Cost Benchmarks model, allowing the latter to be adduced in evidence in the commentary which follows.</w:t>
      </w:r>
    </w:p>
    <w:p w14:paraId="470934FA" w14:textId="77777777" w:rsidR="00206DB2" w:rsidRPr="00206DB2" w:rsidRDefault="00206DB2" w:rsidP="00206DB2">
      <w:pPr>
        <w:spacing w:after="0" w:line="280" w:lineRule="exact"/>
        <w:ind w:right="-851"/>
        <w:jc w:val="both"/>
        <w:rPr>
          <w:rFonts w:ascii="Arial" w:hAnsi="Arial" w:cs="Arial"/>
          <w:lang w:eastAsia="en-GB"/>
        </w:rPr>
      </w:pPr>
    </w:p>
    <w:tbl>
      <w:tblPr>
        <w:tblStyle w:val="TableGrid2"/>
        <w:tblW w:w="10060" w:type="dxa"/>
        <w:tblLook w:val="04A0" w:firstRow="1" w:lastRow="0" w:firstColumn="1" w:lastColumn="0" w:noHBand="0" w:noVBand="1"/>
      </w:tblPr>
      <w:tblGrid>
        <w:gridCol w:w="10060"/>
      </w:tblGrid>
      <w:tr w:rsidR="00206DB2" w:rsidRPr="00206DB2" w14:paraId="2D2D5E19" w14:textId="77777777" w:rsidTr="0002146F">
        <w:tc>
          <w:tcPr>
            <w:tcW w:w="10060" w:type="dxa"/>
          </w:tcPr>
          <w:p w14:paraId="4742393B"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b/>
                <w:bCs/>
                <w:color w:val="0B0C0C"/>
                <w:sz w:val="20"/>
                <w:szCs w:val="20"/>
                <w:lang w:eastAsia="en-GB"/>
              </w:rPr>
            </w:pPr>
            <w:r w:rsidRPr="00206DB2">
              <w:rPr>
                <w:rFonts w:ascii="Arial" w:eastAsia="Times New Roman" w:hAnsi="Arial" w:cs="Arial"/>
                <w:b/>
                <w:bCs/>
                <w:color w:val="0B0C0C"/>
                <w:sz w:val="20"/>
                <w:szCs w:val="20"/>
                <w:lang w:eastAsia="en-GB"/>
              </w:rPr>
              <w:t>Box 2 Return on Operations (care homes and domiciliary care)</w:t>
            </w:r>
          </w:p>
          <w:p w14:paraId="529A612D"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The return on operations amounts to a reward and incentive for operating the care and support services in a </w:t>
            </w:r>
          </w:p>
          <w:p w14:paraId="078EE5E6"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care home, and as a reward and incentive for the whole business of domiciliary care. It is important to </w:t>
            </w:r>
          </w:p>
          <w:p w14:paraId="10166746"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note that in domiciliary care, return on operations is the only source of profit (there is no return on capital nor </w:t>
            </w:r>
          </w:p>
          <w:p w14:paraId="46849D2E"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any capital gains from the property). It is therefore particularly important to understand the costs of </w:t>
            </w:r>
          </w:p>
          <w:p w14:paraId="688EC2C1" w14:textId="77777777" w:rsidR="00206DB2" w:rsidRPr="00206DB2" w:rsidRDefault="00206DB2" w:rsidP="00206DB2">
            <w:pPr>
              <w:shd w:val="clear" w:color="auto" w:fill="FFFFFF"/>
              <w:tabs>
                <w:tab w:val="num" w:pos="0"/>
                <w:tab w:val="right" w:pos="9071"/>
              </w:tabs>
              <w:suppressAutoHyphens/>
              <w:spacing w:after="0" w:line="260" w:lineRule="exact"/>
              <w:ind w:right="-851"/>
              <w:jc w:val="both"/>
              <w:outlineLvl w:val="2"/>
              <w:rPr>
                <w:rFonts w:ascii="Arial" w:eastAsia="Times New Roman" w:hAnsi="Arial" w:cs="Arial"/>
                <w:b/>
                <w:bCs/>
                <w:color w:val="0B0C0C"/>
                <w:sz w:val="20"/>
                <w:szCs w:val="20"/>
                <w:lang w:eastAsia="en-GB"/>
              </w:rPr>
            </w:pPr>
            <w:r w:rsidRPr="00206DB2">
              <w:rPr>
                <w:rFonts w:ascii="Arial" w:eastAsia="Times New Roman" w:hAnsi="Arial" w:cs="Arial"/>
                <w:color w:val="0B0C0C"/>
                <w:sz w:val="20"/>
                <w:szCs w:val="20"/>
                <w:lang w:eastAsia="en-GB"/>
              </w:rPr>
              <w:t>domiciliary care providers and how they are changing, to ensure that profits remain at a sufficient level.</w:t>
            </w:r>
          </w:p>
          <w:p w14:paraId="47D2462C" w14:textId="77777777" w:rsidR="00206DB2" w:rsidRPr="00206DB2" w:rsidRDefault="00206DB2" w:rsidP="00206DB2">
            <w:pPr>
              <w:shd w:val="clear" w:color="auto" w:fill="FFFFFF"/>
              <w:suppressAutoHyphens/>
              <w:spacing w:after="0" w:line="240" w:lineRule="auto"/>
              <w:rPr>
                <w:rFonts w:ascii="Arial" w:eastAsia="Times New Roman" w:hAnsi="Arial" w:cs="Arial"/>
                <w:color w:val="0B0C0C"/>
                <w:sz w:val="20"/>
                <w:szCs w:val="20"/>
                <w:lang w:eastAsia="en-GB"/>
              </w:rPr>
            </w:pPr>
          </w:p>
          <w:p w14:paraId="68DADA94" w14:textId="77777777" w:rsidR="00206DB2" w:rsidRPr="00206DB2" w:rsidRDefault="00206DB2" w:rsidP="00206DB2">
            <w:pPr>
              <w:shd w:val="clear" w:color="auto" w:fill="FFFFFF"/>
              <w:suppressAutoHyphens/>
              <w:spacing w:after="0"/>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Return on operations can be calculated as a percentage markup on operations and head office costs.</w:t>
            </w:r>
          </w:p>
          <w:p w14:paraId="2F003C61" w14:textId="77777777" w:rsidR="00206DB2" w:rsidRPr="00206DB2" w:rsidRDefault="00206DB2" w:rsidP="00206DB2">
            <w:pPr>
              <w:shd w:val="clear" w:color="auto" w:fill="FFFFFF"/>
              <w:suppressAutoHyphens/>
              <w:spacing w:after="0"/>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As noted for the return on capital above, providers can choose to reinvest part of their return on operations </w:t>
            </w:r>
          </w:p>
          <w:p w14:paraId="37191C32" w14:textId="77777777" w:rsidR="00206DB2" w:rsidRPr="00206DB2" w:rsidRDefault="00206DB2" w:rsidP="00206DB2">
            <w:pPr>
              <w:shd w:val="clear" w:color="auto" w:fill="FFFFFF"/>
              <w:suppressAutoHyphens/>
              <w:spacing w:after="0"/>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into the business. This can make their business more desirable to the market in future, and help the market </w:t>
            </w:r>
          </w:p>
          <w:p w14:paraId="595B8487" w14:textId="77777777" w:rsidR="00206DB2" w:rsidRPr="00206DB2" w:rsidRDefault="00206DB2" w:rsidP="00206DB2">
            <w:pPr>
              <w:shd w:val="clear" w:color="auto" w:fill="FFFFFF"/>
              <w:suppressAutoHyphens/>
              <w:spacing w:after="0"/>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t xml:space="preserve">develop more generally, for example by improving quality, improving efficiency, serving more people, or moving </w:t>
            </w:r>
          </w:p>
          <w:p w14:paraId="26F80B22" w14:textId="77777777" w:rsidR="00206DB2" w:rsidRPr="00206DB2" w:rsidRDefault="00206DB2" w:rsidP="00206DB2">
            <w:pPr>
              <w:shd w:val="clear" w:color="auto" w:fill="FFFFFF"/>
              <w:suppressAutoHyphens/>
              <w:spacing w:after="0"/>
              <w:rPr>
                <w:rFonts w:ascii="Arial" w:eastAsia="Times New Roman" w:hAnsi="Arial" w:cs="Arial"/>
                <w:color w:val="0B0C0C"/>
                <w:sz w:val="20"/>
                <w:szCs w:val="20"/>
                <w:lang w:eastAsia="en-GB"/>
              </w:rPr>
            </w:pPr>
            <w:r w:rsidRPr="00206DB2">
              <w:rPr>
                <w:rFonts w:ascii="Arial" w:eastAsia="Times New Roman" w:hAnsi="Arial" w:cs="Arial"/>
                <w:color w:val="0B0C0C"/>
                <w:sz w:val="20"/>
                <w:szCs w:val="20"/>
                <w:lang w:eastAsia="en-GB"/>
              </w:rPr>
              <w:lastRenderedPageBreak/>
              <w:t>into new types of care.</w:t>
            </w:r>
          </w:p>
          <w:p w14:paraId="14CFD3E6" w14:textId="77777777" w:rsidR="00206DB2" w:rsidRPr="00206DB2" w:rsidRDefault="00206DB2" w:rsidP="00206DB2">
            <w:pPr>
              <w:shd w:val="clear" w:color="auto" w:fill="FFFFFF"/>
              <w:suppressAutoHyphens/>
              <w:spacing w:after="0" w:line="240" w:lineRule="auto"/>
              <w:rPr>
                <w:rFonts w:ascii="Arial" w:eastAsia="Times New Roman" w:hAnsi="Arial" w:cs="Arial"/>
                <w:color w:val="0B0C0C"/>
                <w:sz w:val="20"/>
                <w:szCs w:val="20"/>
                <w:lang w:eastAsia="en-GB"/>
              </w:rPr>
            </w:pPr>
          </w:p>
          <w:p w14:paraId="0400C90B" w14:textId="786A7829" w:rsidR="00206DB2" w:rsidRPr="00206DB2" w:rsidRDefault="00206DB2" w:rsidP="00206DB2">
            <w:pPr>
              <w:suppressAutoHyphens/>
              <w:spacing w:after="0" w:line="240" w:lineRule="auto"/>
              <w:ind w:right="-851"/>
              <w:rPr>
                <w:rFonts w:ascii="Arial" w:eastAsia="Times New Roman" w:hAnsi="Arial" w:cs="Arial"/>
                <w:color w:val="auto"/>
                <w:sz w:val="20"/>
                <w:szCs w:val="20"/>
                <w:u w:val="single"/>
                <w:lang w:eastAsia="en-GB"/>
              </w:rPr>
            </w:pPr>
            <w:r w:rsidRPr="00206DB2">
              <w:rPr>
                <w:rFonts w:ascii="Arial" w:eastAsia="Times New Roman" w:hAnsi="Arial" w:cs="Arial"/>
                <w:color w:val="auto"/>
                <w:sz w:val="20"/>
                <w:szCs w:val="20"/>
                <w:lang w:eastAsia="en-GB"/>
              </w:rPr>
              <w:t xml:space="preserve">Source: Market Sustainability and Fair Cost of Care Fund 2022 to 2023: guidance published </w:t>
            </w:r>
            <w:r w:rsidRPr="00206DB2">
              <w:rPr>
                <w:rFonts w:ascii="Arial" w:eastAsia="Times New Roman" w:hAnsi="Arial" w:cs="Arial"/>
                <w:color w:val="0B0C0C"/>
                <w:sz w:val="20"/>
                <w:szCs w:val="20"/>
                <w:lang w:eastAsia="en-GB"/>
              </w:rPr>
              <w:t>25 August</w:t>
            </w:r>
            <w:r w:rsidRPr="00206DB2">
              <w:rPr>
                <w:rFonts w:ascii="Arial" w:eastAsia="Times New Roman" w:hAnsi="Arial" w:cs="Arial"/>
                <w:color w:val="auto"/>
                <w:sz w:val="20"/>
                <w:szCs w:val="20"/>
                <w:lang w:eastAsia="en-GB"/>
              </w:rPr>
              <w:t xml:space="preserve">. </w:t>
            </w:r>
            <w:hyperlink r:id="rId19" w:history="1">
              <w:r w:rsidRPr="00206DB2">
                <w:rPr>
                  <w:rFonts w:ascii="Arial" w:eastAsia="Times New Roman" w:hAnsi="Arial" w:cs="Arial"/>
                  <w:color w:val="auto"/>
                  <w:sz w:val="20"/>
                  <w:szCs w:val="20"/>
                  <w:u w:val="single"/>
                  <w:lang w:eastAsia="en-GB"/>
                </w:rPr>
                <w:t>https://www.gov.uk/government/publications/market-sustainability-and-fair-cost-of-care-fund-2022-to-2023-guidance</w:t>
              </w:r>
            </w:hyperlink>
            <w:r w:rsidRPr="00206DB2">
              <w:rPr>
                <w:rFonts w:ascii="Arial" w:eastAsia="Times New Roman" w:hAnsi="Arial" w:cs="Arial"/>
                <w:color w:val="auto"/>
                <w:sz w:val="20"/>
                <w:szCs w:val="20"/>
                <w:u w:val="single"/>
                <w:lang w:eastAsia="en-GB"/>
              </w:rPr>
              <w:t xml:space="preserve"> </w:t>
            </w:r>
          </w:p>
        </w:tc>
      </w:tr>
    </w:tbl>
    <w:p w14:paraId="7F19FD6C" w14:textId="77777777" w:rsidR="00206DB2" w:rsidRPr="00206DB2" w:rsidRDefault="00206DB2" w:rsidP="00206DB2">
      <w:pPr>
        <w:spacing w:after="0" w:line="280" w:lineRule="exact"/>
        <w:ind w:right="-851"/>
        <w:jc w:val="both"/>
        <w:rPr>
          <w:rFonts w:ascii="Arial" w:hAnsi="Arial" w:cs="Arial"/>
          <w:color w:val="auto"/>
        </w:rPr>
      </w:pPr>
    </w:p>
    <w:p w14:paraId="231C0AF4" w14:textId="77777777" w:rsidR="00206DB2" w:rsidRPr="00206DB2" w:rsidRDefault="00206DB2" w:rsidP="00206DB2">
      <w:pPr>
        <w:spacing w:after="0" w:line="280" w:lineRule="exact"/>
        <w:ind w:right="-851"/>
        <w:jc w:val="both"/>
        <w:rPr>
          <w:rFonts w:ascii="Arial" w:hAnsi="Arial" w:cs="Arial"/>
          <w:color w:val="auto"/>
        </w:rPr>
      </w:pPr>
    </w:p>
    <w:p w14:paraId="05DCE9B8" w14:textId="65D77CF2" w:rsidR="00206DB2" w:rsidRPr="00206DB2" w:rsidRDefault="00206DB2" w:rsidP="00206DB2">
      <w:pPr>
        <w:spacing w:after="0" w:line="280" w:lineRule="exact"/>
        <w:ind w:right="-851"/>
        <w:jc w:val="both"/>
        <w:rPr>
          <w:rFonts w:ascii="Arial" w:hAnsi="Arial" w:cs="Arial"/>
          <w:color w:val="auto"/>
        </w:rPr>
      </w:pPr>
      <w:r w:rsidRPr="00206DB2">
        <w:rPr>
          <w:rFonts w:ascii="Arial" w:hAnsi="Arial" w:cs="Arial"/>
          <w:color w:val="auto"/>
        </w:rPr>
        <w:t xml:space="preserve">The council does not </w:t>
      </w:r>
      <w:r w:rsidR="002667C3">
        <w:rPr>
          <w:rFonts w:ascii="Arial" w:hAnsi="Arial" w:cs="Arial"/>
          <w:color w:val="auto"/>
        </w:rPr>
        <w:t>recognise</w:t>
      </w:r>
      <w:r w:rsidR="002667C3" w:rsidRPr="00206DB2">
        <w:rPr>
          <w:rFonts w:ascii="Arial" w:hAnsi="Arial" w:cs="Arial"/>
          <w:color w:val="auto"/>
        </w:rPr>
        <w:t xml:space="preserve"> </w:t>
      </w:r>
      <w:r w:rsidRPr="00206DB2">
        <w:rPr>
          <w:rFonts w:ascii="Arial" w:hAnsi="Arial" w:cs="Arial"/>
          <w:color w:val="auto"/>
        </w:rPr>
        <w:t>the median figures for back-office costs for the following reasons:</w:t>
      </w:r>
    </w:p>
    <w:p w14:paraId="77CF52A9" w14:textId="77777777" w:rsidR="001D45DB" w:rsidRDefault="001D45DB" w:rsidP="001D45DB">
      <w:pPr>
        <w:suppressAutoHyphens/>
        <w:spacing w:after="0" w:line="280" w:lineRule="exact"/>
        <w:ind w:right="-851"/>
        <w:jc w:val="both"/>
        <w:rPr>
          <w:rFonts w:ascii="Arial" w:hAnsi="Arial" w:cs="Arial"/>
          <w:color w:val="auto"/>
        </w:rPr>
      </w:pPr>
    </w:p>
    <w:p w14:paraId="294D40B4" w14:textId="061B62C2" w:rsidR="001D45DB" w:rsidRDefault="00206DB2" w:rsidP="001D45DB">
      <w:pPr>
        <w:pStyle w:val="ListParagraph"/>
        <w:numPr>
          <w:ilvl w:val="0"/>
          <w:numId w:val="31"/>
        </w:numPr>
        <w:spacing w:line="280" w:lineRule="exact"/>
        <w:ind w:right="-851"/>
        <w:jc w:val="both"/>
        <w:rPr>
          <w:rFonts w:ascii="Arial" w:hAnsi="Arial" w:cs="Arial"/>
          <w:color w:val="auto"/>
        </w:rPr>
      </w:pPr>
      <w:r w:rsidRPr="001D45DB">
        <w:rPr>
          <w:rFonts w:ascii="Arial" w:hAnsi="Arial" w:cs="Arial"/>
          <w:color w:val="auto"/>
        </w:rPr>
        <w:t>The report from LaingBuisson describes significant flaws in the toolkit and the data received</w:t>
      </w:r>
      <w:r w:rsidR="001D45DB">
        <w:rPr>
          <w:rFonts w:ascii="Arial" w:hAnsi="Arial" w:cs="Arial"/>
          <w:color w:val="auto"/>
        </w:rPr>
        <w:t>.</w:t>
      </w:r>
    </w:p>
    <w:p w14:paraId="3A799035" w14:textId="7AD2DAA8" w:rsidR="001D45DB" w:rsidRDefault="00206DB2" w:rsidP="001D45DB">
      <w:pPr>
        <w:pStyle w:val="ListParagraph"/>
        <w:numPr>
          <w:ilvl w:val="0"/>
          <w:numId w:val="31"/>
        </w:numPr>
        <w:spacing w:line="280" w:lineRule="exact"/>
        <w:ind w:right="-851"/>
        <w:jc w:val="both"/>
        <w:rPr>
          <w:rFonts w:ascii="Arial" w:hAnsi="Arial" w:cs="Arial"/>
          <w:color w:val="auto"/>
        </w:rPr>
      </w:pPr>
      <w:r w:rsidRPr="001D45DB">
        <w:rPr>
          <w:rFonts w:ascii="Arial" w:hAnsi="Arial" w:cs="Arial"/>
          <w:color w:val="auto"/>
        </w:rPr>
        <w:t>The return rate of 22% of home care providers does not provide adequate confidence that the medians derived are reasonable and reflective of the whole market</w:t>
      </w:r>
      <w:r w:rsidR="001D45DB">
        <w:rPr>
          <w:rFonts w:ascii="Arial" w:hAnsi="Arial" w:cs="Arial"/>
          <w:color w:val="auto"/>
        </w:rPr>
        <w:t>.</w:t>
      </w:r>
    </w:p>
    <w:p w14:paraId="5354E49A" w14:textId="77777777" w:rsidR="001D45DB" w:rsidRPr="001D45DB" w:rsidRDefault="00206DB2" w:rsidP="001D45DB">
      <w:pPr>
        <w:pStyle w:val="ListParagraph"/>
        <w:numPr>
          <w:ilvl w:val="0"/>
          <w:numId w:val="31"/>
        </w:numPr>
        <w:spacing w:line="280" w:lineRule="exact"/>
        <w:ind w:right="-851"/>
        <w:jc w:val="both"/>
        <w:rPr>
          <w:rFonts w:ascii="Arial" w:hAnsi="Arial" w:cs="Arial"/>
          <w:color w:val="auto"/>
        </w:rPr>
      </w:pPr>
      <w:r w:rsidRPr="001D45DB">
        <w:rPr>
          <w:rFonts w:ascii="Arial" w:hAnsi="Arial" w:cs="Arial"/>
          <w:color w:val="auto"/>
        </w:rPr>
        <w:t xml:space="preserve">LaingBuisson identified significant anomalies in the submissions for business costs, which when tested with providers indicated variations in completing the toolkit; it is possible costs were included which did not directly relate to the cost of delivering home care. </w:t>
      </w:r>
      <w:r w:rsidRPr="001D45DB">
        <w:rPr>
          <w:rFonts w:ascii="Arial" w:hAnsi="Arial" w:cs="Arial"/>
        </w:rPr>
        <w:t xml:space="preserve">If the Homecare Association ratio of 2.03 were applied to the </w:t>
      </w:r>
      <w:r w:rsidR="00BE2ACF" w:rsidRPr="001D45DB">
        <w:rPr>
          <w:rFonts w:ascii="Arial" w:hAnsi="Arial" w:cs="Arial"/>
        </w:rPr>
        <w:t xml:space="preserve"> </w:t>
      </w:r>
      <w:r w:rsidR="0029380F" w:rsidRPr="001D45DB">
        <w:rPr>
          <w:rFonts w:ascii="Arial" w:hAnsi="Arial" w:cs="Arial"/>
        </w:rPr>
        <w:t>CoC</w:t>
      </w:r>
      <w:r w:rsidRPr="001D45DB">
        <w:rPr>
          <w:rFonts w:ascii="Arial" w:hAnsi="Arial" w:cs="Arial"/>
        </w:rPr>
        <w:t xml:space="preserve"> median gross pay per hour in Oxfordshire County, then the Total cost line in Table 3 would work out at £25.29 per hour, which is very close to the council’s current rate of £25.20.</w:t>
      </w:r>
    </w:p>
    <w:p w14:paraId="1D6B924A" w14:textId="4FDFAF4C" w:rsidR="00206DB2" w:rsidRPr="001D45DB" w:rsidRDefault="00206DB2" w:rsidP="001D45DB">
      <w:pPr>
        <w:pStyle w:val="ListParagraph"/>
        <w:numPr>
          <w:ilvl w:val="0"/>
          <w:numId w:val="31"/>
        </w:numPr>
        <w:spacing w:line="280" w:lineRule="exact"/>
        <w:ind w:right="-851"/>
        <w:jc w:val="both"/>
        <w:rPr>
          <w:rFonts w:ascii="Arial" w:hAnsi="Arial" w:cs="Arial"/>
          <w:color w:val="auto"/>
        </w:rPr>
      </w:pPr>
      <w:r w:rsidRPr="001D45DB">
        <w:rPr>
          <w:rFonts w:ascii="Arial" w:hAnsi="Arial" w:cs="Arial"/>
          <w:color w:val="auto"/>
        </w:rPr>
        <w:t>There are no large corporate providers represented in the exercise although there is one currently working in Oxfordshire.  It is likely that their economy of scale would have lowered the median</w:t>
      </w:r>
    </w:p>
    <w:p w14:paraId="42D7E897" w14:textId="77777777" w:rsidR="00206DB2" w:rsidRPr="00206DB2" w:rsidRDefault="00206DB2" w:rsidP="00206DB2">
      <w:pPr>
        <w:suppressAutoHyphens/>
        <w:spacing w:after="0" w:line="280" w:lineRule="exact"/>
        <w:ind w:right="-851"/>
        <w:jc w:val="both"/>
        <w:rPr>
          <w:rFonts w:ascii="Arial" w:eastAsia="Times New Roman" w:hAnsi="Arial" w:cs="Arial"/>
          <w:color w:val="auto"/>
          <w:szCs w:val="20"/>
          <w:lang w:eastAsia="en-GB"/>
        </w:rPr>
      </w:pPr>
    </w:p>
    <w:p w14:paraId="7002BC2C" w14:textId="0553091D" w:rsidR="00206DB2" w:rsidRPr="00206DB2" w:rsidRDefault="00206DB2" w:rsidP="00206DB2">
      <w:pPr>
        <w:spacing w:after="0" w:line="280" w:lineRule="exact"/>
        <w:ind w:right="-851"/>
        <w:jc w:val="both"/>
        <w:rPr>
          <w:rFonts w:ascii="Arial" w:hAnsi="Arial" w:cs="Arial"/>
          <w:color w:val="auto"/>
        </w:rPr>
      </w:pPr>
      <w:r w:rsidRPr="00206DB2">
        <w:rPr>
          <w:rFonts w:ascii="Arial" w:hAnsi="Arial" w:cs="Arial"/>
          <w:color w:val="auto"/>
        </w:rPr>
        <w:t xml:space="preserve">The council </w:t>
      </w:r>
      <w:r w:rsidR="002667C3">
        <w:rPr>
          <w:rFonts w:ascii="Arial" w:hAnsi="Arial" w:cs="Arial"/>
          <w:color w:val="auto"/>
        </w:rPr>
        <w:t xml:space="preserve">has adopted </w:t>
      </w:r>
      <w:r w:rsidRPr="00206DB2">
        <w:rPr>
          <w:rFonts w:ascii="Arial" w:hAnsi="Arial" w:cs="Arial"/>
          <w:color w:val="auto"/>
        </w:rPr>
        <w:t xml:space="preserve">a </w:t>
      </w:r>
      <w:r w:rsidR="002667C3">
        <w:rPr>
          <w:rFonts w:ascii="Arial" w:hAnsi="Arial" w:cs="Arial"/>
          <w:color w:val="auto"/>
        </w:rPr>
        <w:t xml:space="preserve"> 5</w:t>
      </w:r>
      <w:r w:rsidRPr="00206DB2">
        <w:rPr>
          <w:rFonts w:ascii="Arial" w:hAnsi="Arial" w:cs="Arial"/>
          <w:color w:val="auto"/>
        </w:rPr>
        <w:t>% operating return for the following reasons:</w:t>
      </w:r>
    </w:p>
    <w:p w14:paraId="039E5D6F" w14:textId="77777777" w:rsidR="001D45DB" w:rsidRDefault="001D45DB" w:rsidP="001D45DB">
      <w:pPr>
        <w:suppressAutoHyphens/>
        <w:spacing w:after="0" w:line="280" w:lineRule="exact"/>
        <w:ind w:right="-851"/>
        <w:jc w:val="both"/>
        <w:rPr>
          <w:rFonts w:ascii="Arial" w:eastAsia="Times New Roman" w:hAnsi="Arial" w:cs="Arial"/>
          <w:color w:val="auto"/>
          <w:szCs w:val="20"/>
          <w:lang w:eastAsia="en-GB"/>
        </w:rPr>
      </w:pPr>
    </w:p>
    <w:p w14:paraId="4122F663" w14:textId="77777777" w:rsidR="001D45DB" w:rsidRDefault="00206DB2" w:rsidP="001D45DB">
      <w:pPr>
        <w:pStyle w:val="ListParagraph"/>
        <w:numPr>
          <w:ilvl w:val="0"/>
          <w:numId w:val="32"/>
        </w:numPr>
        <w:spacing w:line="280" w:lineRule="exact"/>
        <w:ind w:right="-851"/>
        <w:jc w:val="both"/>
        <w:rPr>
          <w:rFonts w:ascii="Arial" w:hAnsi="Arial" w:cs="Arial"/>
          <w:color w:val="auto"/>
        </w:rPr>
      </w:pPr>
      <w:r w:rsidRPr="001D45DB">
        <w:rPr>
          <w:rFonts w:ascii="Arial" w:hAnsi="Arial" w:cs="Arial"/>
          <w:color w:val="auto"/>
        </w:rPr>
        <w:t>The broader evidence set out at 1.5 indicates 5% is a reasonable rate of operating return</w:t>
      </w:r>
      <w:r w:rsidR="001D45DB">
        <w:rPr>
          <w:rFonts w:ascii="Arial" w:hAnsi="Arial" w:cs="Arial"/>
          <w:color w:val="auto"/>
        </w:rPr>
        <w:t>.</w:t>
      </w:r>
    </w:p>
    <w:p w14:paraId="187650BF" w14:textId="77777777" w:rsidR="001D45DB" w:rsidRDefault="00206DB2" w:rsidP="001D45DB">
      <w:pPr>
        <w:pStyle w:val="ListParagraph"/>
        <w:numPr>
          <w:ilvl w:val="0"/>
          <w:numId w:val="32"/>
        </w:numPr>
        <w:spacing w:line="280" w:lineRule="exact"/>
        <w:ind w:right="-851"/>
        <w:jc w:val="both"/>
        <w:rPr>
          <w:rFonts w:ascii="Arial" w:hAnsi="Arial" w:cs="Arial"/>
          <w:color w:val="auto"/>
        </w:rPr>
      </w:pPr>
      <w:r w:rsidRPr="001D45DB">
        <w:rPr>
          <w:rFonts w:ascii="Arial" w:hAnsi="Arial" w:cs="Arial"/>
          <w:color w:val="auto"/>
        </w:rPr>
        <w:t>The council is responsible for good stewardship of public money, which supports targeting resources to greatest need to achieve high quality and stability in the market rather than necessarily allowing for higher profit margins by private companies - the current data do not give a clear enough picture of the expected profit by providers across the sector in Oxfordshire – there is a risk the providers which submitted returns are not representative of the wider market</w:t>
      </w:r>
      <w:r w:rsidR="001D45DB">
        <w:rPr>
          <w:rFonts w:ascii="Arial" w:hAnsi="Arial" w:cs="Arial"/>
          <w:color w:val="auto"/>
        </w:rPr>
        <w:t>.</w:t>
      </w:r>
    </w:p>
    <w:p w14:paraId="3BC818CF" w14:textId="28532319" w:rsidR="00206DB2" w:rsidRPr="001D45DB" w:rsidRDefault="00206DB2" w:rsidP="001D45DB">
      <w:pPr>
        <w:pStyle w:val="ListParagraph"/>
        <w:numPr>
          <w:ilvl w:val="0"/>
          <w:numId w:val="32"/>
        </w:numPr>
        <w:spacing w:line="280" w:lineRule="exact"/>
        <w:ind w:right="-851"/>
        <w:jc w:val="both"/>
        <w:rPr>
          <w:rFonts w:ascii="Arial" w:hAnsi="Arial" w:cs="Arial"/>
          <w:color w:val="auto"/>
        </w:rPr>
      </w:pPr>
      <w:r w:rsidRPr="001D45DB">
        <w:rPr>
          <w:rFonts w:ascii="Arial" w:hAnsi="Arial" w:cs="Arial"/>
          <w:color w:val="auto"/>
        </w:rPr>
        <w:t xml:space="preserve">Over the past twelve months the council has attracted a significant number of providers to join the Live Well At Home framework at the rate of £25.20 (2022/23 rate).  While some providers describe this rate as lower than their true cost Oxfordshire has been viewed as a positive partnership and business environment for competitors in this market. </w:t>
      </w:r>
    </w:p>
    <w:p w14:paraId="066C7F24" w14:textId="77777777" w:rsidR="00206DB2" w:rsidRPr="00206DB2" w:rsidRDefault="00206DB2" w:rsidP="00206DB2">
      <w:pPr>
        <w:suppressAutoHyphens/>
        <w:spacing w:after="0" w:line="280" w:lineRule="exact"/>
        <w:ind w:right="-851"/>
        <w:jc w:val="both"/>
        <w:rPr>
          <w:rFonts w:ascii="Arial" w:hAnsi="Arial" w:cs="Arial"/>
          <w:color w:val="auto"/>
        </w:rPr>
      </w:pPr>
    </w:p>
    <w:p w14:paraId="0B563590" w14:textId="77777777" w:rsidR="00206DB2" w:rsidRPr="00206DB2" w:rsidRDefault="00206DB2" w:rsidP="00206DB2">
      <w:pPr>
        <w:spacing w:after="0" w:line="280" w:lineRule="exact"/>
        <w:ind w:right="-851"/>
        <w:jc w:val="both"/>
        <w:rPr>
          <w:rFonts w:ascii="Arial" w:hAnsi="Arial" w:cs="Arial"/>
          <w:color w:val="auto"/>
        </w:rPr>
      </w:pPr>
      <w:r w:rsidRPr="00206DB2">
        <w:rPr>
          <w:rFonts w:ascii="Arial" w:hAnsi="Arial" w:cs="Arial"/>
          <w:color w:val="auto"/>
        </w:rPr>
        <w:t xml:space="preserve">LaingBuisson posed a subsidiary question over whether the mark-up should be the same for not-for-profit providers as for for-profit providers, given the typically lower profitability (surplus) aspirations of not-for-profits.  Oxfordshire County Council has significant partnerships with not-for-profit organisations as part of our strategic approach to the market.  The council would not seek to provide a lower return rate to not-for-profit providers, but to enable them to reinvest any surplus in the sustainability and quality of care for the long-term stability of social care in the county. This is in line with the council’s approach to sound stewardship of public money. </w:t>
      </w:r>
    </w:p>
    <w:p w14:paraId="0551929C" w14:textId="77777777" w:rsidR="00206DB2" w:rsidRPr="00206DB2" w:rsidRDefault="00206DB2" w:rsidP="00206DB2">
      <w:pPr>
        <w:ind w:right="-851"/>
        <w:rPr>
          <w:rFonts w:ascii="Arial" w:hAnsi="Arial" w:cs="Arial"/>
          <w:b/>
          <w:bCs/>
        </w:rPr>
      </w:pPr>
      <w:r w:rsidRPr="00206DB2">
        <w:rPr>
          <w:rFonts w:ascii="Arial" w:hAnsi="Arial" w:cs="Arial"/>
          <w:b/>
          <w:bCs/>
        </w:rPr>
        <w:t xml:space="preserve"> </w:t>
      </w:r>
    </w:p>
    <w:p w14:paraId="25720E1D" w14:textId="77777777" w:rsidR="00206DB2" w:rsidRPr="00206DB2" w:rsidRDefault="00206DB2" w:rsidP="00206DB2">
      <w:pPr>
        <w:ind w:right="-851"/>
        <w:rPr>
          <w:rFonts w:ascii="Arial" w:hAnsi="Arial" w:cs="Arial"/>
          <w:b/>
          <w:bCs/>
        </w:rPr>
      </w:pPr>
    </w:p>
    <w:p w14:paraId="23944528" w14:textId="77777777" w:rsidR="00206DB2" w:rsidRPr="00206DB2" w:rsidRDefault="00206DB2" w:rsidP="00206DB2">
      <w:pPr>
        <w:spacing w:after="0" w:line="240" w:lineRule="auto"/>
        <w:ind w:right="-851"/>
        <w:rPr>
          <w:rFonts w:ascii="Arial" w:hAnsi="Arial" w:cs="Arial"/>
          <w:b/>
          <w:bCs/>
        </w:rPr>
      </w:pPr>
      <w:r w:rsidRPr="00206DB2">
        <w:rPr>
          <w:rFonts w:ascii="Arial" w:hAnsi="Arial" w:cs="Arial"/>
          <w:b/>
          <w:bCs/>
        </w:rPr>
        <w:br w:type="page"/>
      </w:r>
    </w:p>
    <w:p w14:paraId="0A2DC21D" w14:textId="77777777" w:rsidR="00206DB2" w:rsidRPr="00206DB2" w:rsidRDefault="00206DB2" w:rsidP="00610FD0">
      <w:pPr>
        <w:ind w:right="-851"/>
        <w:jc w:val="both"/>
      </w:pPr>
      <w:r w:rsidRPr="00206DB2">
        <w:rPr>
          <w:rFonts w:ascii="Arial" w:hAnsi="Arial" w:cs="Arial"/>
          <w:b/>
          <w:bCs/>
        </w:rPr>
        <w:lastRenderedPageBreak/>
        <w:t>APPENDIX 2 GLOSSARY</w:t>
      </w:r>
    </w:p>
    <w:p w14:paraId="187C76F4" w14:textId="77777777" w:rsidR="00206DB2" w:rsidRPr="00206DB2" w:rsidRDefault="00206DB2" w:rsidP="00610FD0">
      <w:pPr>
        <w:ind w:right="-851"/>
        <w:jc w:val="both"/>
        <w:rPr>
          <w:rFonts w:ascii="Arial" w:hAnsi="Arial" w:cs="Arial"/>
          <w:b/>
          <w:bCs/>
        </w:rPr>
      </w:pPr>
      <w:r w:rsidRPr="00206DB2">
        <w:rPr>
          <w:rFonts w:ascii="Arial" w:hAnsi="Arial" w:cs="Arial"/>
          <w:b/>
          <w:bCs/>
        </w:rPr>
        <w:t>Cost of care</w:t>
      </w:r>
    </w:p>
    <w:p w14:paraId="79EC2CC1" w14:textId="77777777" w:rsidR="00206DB2" w:rsidRPr="00206DB2" w:rsidRDefault="00206DB2" w:rsidP="00610FD0">
      <w:pPr>
        <w:ind w:right="-851"/>
        <w:jc w:val="both"/>
        <w:rPr>
          <w:rFonts w:ascii="Arial" w:hAnsi="Arial" w:cs="Arial"/>
        </w:rPr>
      </w:pPr>
      <w:r w:rsidRPr="00206DB2">
        <w:rPr>
          <w:rFonts w:ascii="Arial" w:hAnsi="Arial" w:cs="Arial"/>
        </w:rPr>
        <w:t>Cost of care best describes the actual costs a care provider incurs in delivering care at the point in time that the exercise is undertaken. It is typically presented as a unit cost for an hour of domiciliary care or a bed per week in a care home.</w:t>
      </w:r>
    </w:p>
    <w:p w14:paraId="747DD834" w14:textId="77777777" w:rsidR="00206DB2" w:rsidRPr="00206DB2" w:rsidRDefault="00206DB2" w:rsidP="00610FD0">
      <w:pPr>
        <w:ind w:right="-851"/>
        <w:jc w:val="both"/>
        <w:rPr>
          <w:rFonts w:ascii="Arial" w:hAnsi="Arial" w:cs="Arial"/>
          <w:b/>
          <w:bCs/>
        </w:rPr>
      </w:pPr>
      <w:r w:rsidRPr="00206DB2">
        <w:rPr>
          <w:rFonts w:ascii="Arial" w:hAnsi="Arial" w:cs="Arial"/>
          <w:b/>
          <w:bCs/>
        </w:rPr>
        <w:t xml:space="preserve">‘Fee for care,’ ‘rate for care’ or ‘fee rate for care’ </w:t>
      </w:r>
    </w:p>
    <w:p w14:paraId="1ADC38E8" w14:textId="77777777" w:rsidR="00206DB2" w:rsidRPr="00206DB2" w:rsidRDefault="00206DB2" w:rsidP="00610FD0">
      <w:pPr>
        <w:ind w:right="-851"/>
        <w:jc w:val="both"/>
        <w:rPr>
          <w:rFonts w:ascii="Arial" w:hAnsi="Arial" w:cs="Arial"/>
        </w:rPr>
      </w:pPr>
      <w:r w:rsidRPr="00206DB2">
        <w:rPr>
          <w:rFonts w:ascii="Arial" w:hAnsi="Arial" w:cs="Arial"/>
        </w:rPr>
        <w:t>These terms are often used interchangeably but most commonly refer to the figure a local authority sets and/or agrees to pay a provider for a particular service. Local authorities will have different commissioning frameworks and approaches to rates for care. In some situations, a local authority will set a fixed rate that it will pay for a type of service, and this may be referred to as the 'local authority's set or usual rate for a care home bed'.</w:t>
      </w:r>
    </w:p>
    <w:p w14:paraId="0D7FD30F" w14:textId="77777777" w:rsidR="00206DB2" w:rsidRPr="00206DB2" w:rsidRDefault="00206DB2" w:rsidP="00610FD0">
      <w:pPr>
        <w:ind w:right="-851"/>
        <w:jc w:val="both"/>
        <w:rPr>
          <w:rFonts w:ascii="Arial" w:hAnsi="Arial" w:cs="Arial"/>
          <w:b/>
          <w:bCs/>
        </w:rPr>
      </w:pPr>
      <w:r w:rsidRPr="00206DB2">
        <w:rPr>
          <w:rFonts w:ascii="Arial" w:hAnsi="Arial" w:cs="Arial"/>
          <w:b/>
          <w:bCs/>
        </w:rPr>
        <w:t>Cost of care exercise</w:t>
      </w:r>
    </w:p>
    <w:p w14:paraId="7BD09174" w14:textId="77777777" w:rsidR="00206DB2" w:rsidRPr="00206DB2" w:rsidRDefault="00206DB2" w:rsidP="00610FD0">
      <w:pPr>
        <w:ind w:right="-851"/>
        <w:jc w:val="both"/>
        <w:rPr>
          <w:rFonts w:ascii="Arial" w:hAnsi="Arial" w:cs="Arial"/>
        </w:rPr>
      </w:pPr>
      <w:r w:rsidRPr="00206DB2">
        <w:rPr>
          <w:rFonts w:ascii="Arial" w:hAnsi="Arial" w:cs="Arial"/>
        </w:rPr>
        <w:t>A process of engagement between local authorities, commissioners and providers, data collection and analysis by means of which local authorities and care providers can arrive at a shared understanding of the local cost of providing care. The cost of care exercise will help local authorities identify the lower quartile, median and upper quartile costs in the local area for a series of care categories.</w:t>
      </w:r>
    </w:p>
    <w:p w14:paraId="0B691963" w14:textId="5D913E6D" w:rsidR="00206DB2" w:rsidRPr="00206DB2" w:rsidRDefault="00710951" w:rsidP="00610FD0">
      <w:pPr>
        <w:ind w:right="-851"/>
        <w:jc w:val="both"/>
        <w:rPr>
          <w:rFonts w:ascii="Arial" w:hAnsi="Arial" w:cs="Arial"/>
          <w:b/>
          <w:bCs/>
        </w:rPr>
      </w:pPr>
      <w:r>
        <w:rPr>
          <w:rFonts w:ascii="Arial" w:hAnsi="Arial" w:cs="Arial"/>
          <w:b/>
          <w:bCs/>
        </w:rPr>
        <w:t>Cost</w:t>
      </w:r>
    </w:p>
    <w:p w14:paraId="59FFA362" w14:textId="63EA19E7" w:rsidR="00206DB2" w:rsidRPr="00206DB2" w:rsidRDefault="00206DB2" w:rsidP="00610FD0">
      <w:pPr>
        <w:ind w:right="-851"/>
        <w:jc w:val="both"/>
        <w:rPr>
          <w:rFonts w:ascii="Arial" w:hAnsi="Arial" w:cs="Arial"/>
        </w:rPr>
      </w:pPr>
      <w:r w:rsidRPr="00206DB2">
        <w:rPr>
          <w:rFonts w:ascii="Arial" w:hAnsi="Arial" w:cs="Arial"/>
        </w:rPr>
        <w:t xml:space="preserve">For reporting purposes for this fund, and in terms of understanding the cost of care, </w:t>
      </w:r>
      <w:r w:rsidR="00BE2ACF">
        <w:rPr>
          <w:rFonts w:ascii="Arial" w:hAnsi="Arial" w:cs="Arial"/>
        </w:rPr>
        <w:t>c</w:t>
      </w:r>
      <w:r w:rsidR="00710951">
        <w:rPr>
          <w:rFonts w:ascii="Arial" w:hAnsi="Arial" w:cs="Arial"/>
        </w:rPr>
        <w:t>ost</w:t>
      </w:r>
      <w:r w:rsidRPr="00206DB2">
        <w:rPr>
          <w:rFonts w:ascii="Arial" w:hAnsi="Arial" w:cs="Arial"/>
        </w:rPr>
        <w:t xml:space="preserve"> means the median actual operating costs for providing care in the local area (following completion of a cost of care exercise) for a series of care categories. This must include evidence values for return on capital and return on operations, and also travel time for domiciliary care. Together this is what is described as the '</w:t>
      </w:r>
      <w:r w:rsidR="00BE2ACF">
        <w:rPr>
          <w:rFonts w:ascii="Arial" w:hAnsi="Arial" w:cs="Arial"/>
        </w:rPr>
        <w:t>c</w:t>
      </w:r>
      <w:r w:rsidR="00710951">
        <w:rPr>
          <w:rFonts w:ascii="Arial" w:hAnsi="Arial" w:cs="Arial"/>
        </w:rPr>
        <w:t>ost</w:t>
      </w:r>
      <w:r w:rsidRPr="00206DB2">
        <w:rPr>
          <w:rFonts w:ascii="Arial" w:hAnsi="Arial" w:cs="Arial"/>
        </w:rPr>
        <w:t xml:space="preserve"> of care and is, on average, what local authorities are required to move toward paying providers.</w:t>
      </w:r>
    </w:p>
    <w:p w14:paraId="3F2BDE30" w14:textId="799F03A2" w:rsidR="00206DB2" w:rsidRPr="00206DB2" w:rsidRDefault="00206DB2" w:rsidP="00610FD0">
      <w:pPr>
        <w:ind w:right="-851"/>
        <w:jc w:val="both"/>
        <w:rPr>
          <w:rFonts w:ascii="Arial" w:hAnsi="Arial" w:cs="Arial"/>
        </w:rPr>
      </w:pPr>
      <w:r w:rsidRPr="00206DB2">
        <w:rPr>
          <w:rFonts w:ascii="Arial" w:hAnsi="Arial" w:cs="Arial"/>
        </w:rPr>
        <w:t xml:space="preserve">In the context of specific rates for care paid, </w:t>
      </w:r>
      <w:r w:rsidR="00BE2ACF">
        <w:rPr>
          <w:rFonts w:ascii="Arial" w:hAnsi="Arial" w:cs="Arial"/>
        </w:rPr>
        <w:t>c</w:t>
      </w:r>
      <w:r w:rsidR="00710951">
        <w:rPr>
          <w:rFonts w:ascii="Arial" w:hAnsi="Arial" w:cs="Arial"/>
        </w:rPr>
        <w:t>ost</w:t>
      </w:r>
      <w:r w:rsidRPr="00206DB2">
        <w:rPr>
          <w:rFonts w:ascii="Arial" w:hAnsi="Arial" w:cs="Arial"/>
        </w:rPr>
        <w:t xml:space="preserve"> means what is sustainable for the local market.</w:t>
      </w:r>
    </w:p>
    <w:p w14:paraId="10F7AD62" w14:textId="77777777" w:rsidR="00206DB2" w:rsidRPr="00206DB2" w:rsidRDefault="00206DB2" w:rsidP="00610FD0">
      <w:pPr>
        <w:ind w:right="-851"/>
        <w:jc w:val="both"/>
        <w:rPr>
          <w:rFonts w:ascii="Arial" w:hAnsi="Arial" w:cs="Arial"/>
        </w:rPr>
      </w:pPr>
      <w:r w:rsidRPr="00206DB2">
        <w:rPr>
          <w:rFonts w:ascii="Arial" w:hAnsi="Arial" w:cs="Arial"/>
        </w:rPr>
        <w:t>For providers, this means they will be able to cover the cost of care delivery and be able to make a reasonable profit (including re-investment in their business), surplus or meet their charitable objectives.</w:t>
      </w:r>
    </w:p>
    <w:p w14:paraId="08C34932" w14:textId="77777777" w:rsidR="00206DB2" w:rsidRPr="00206DB2" w:rsidRDefault="00206DB2" w:rsidP="00610FD0">
      <w:pPr>
        <w:ind w:right="-851"/>
        <w:jc w:val="both"/>
        <w:rPr>
          <w:rFonts w:ascii="Arial" w:hAnsi="Arial" w:cs="Arial"/>
        </w:rPr>
      </w:pPr>
      <w:r w:rsidRPr="00206DB2">
        <w:rPr>
          <w:rFonts w:ascii="Arial" w:hAnsi="Arial" w:cs="Arial"/>
        </w:rPr>
        <w:t>Local authorities recognise the responsibility they have in stewarding public money, including securing the best value for the taxpayer.</w:t>
      </w:r>
    </w:p>
    <w:p w14:paraId="46DBA64E" w14:textId="77777777" w:rsidR="00206DB2" w:rsidRPr="00206DB2" w:rsidRDefault="00206DB2" w:rsidP="00610FD0">
      <w:pPr>
        <w:ind w:right="-851"/>
        <w:jc w:val="both"/>
        <w:rPr>
          <w:rFonts w:ascii="Arial" w:hAnsi="Arial" w:cs="Arial"/>
          <w:b/>
          <w:bCs/>
        </w:rPr>
      </w:pPr>
      <w:r w:rsidRPr="00206DB2">
        <w:rPr>
          <w:rFonts w:ascii="Arial" w:hAnsi="Arial" w:cs="Arial"/>
          <w:b/>
          <w:bCs/>
        </w:rPr>
        <w:t>Data collection tool</w:t>
      </w:r>
    </w:p>
    <w:p w14:paraId="7387DF71" w14:textId="77777777" w:rsidR="00206DB2" w:rsidRPr="00206DB2" w:rsidRDefault="00206DB2" w:rsidP="00610FD0">
      <w:pPr>
        <w:ind w:right="-851"/>
        <w:jc w:val="both"/>
        <w:rPr>
          <w:rFonts w:ascii="Arial" w:hAnsi="Arial" w:cs="Arial"/>
        </w:rPr>
      </w:pPr>
      <w:r w:rsidRPr="00206DB2">
        <w:rPr>
          <w:rFonts w:ascii="Arial" w:hAnsi="Arial" w:cs="Arial"/>
        </w:rPr>
        <w:t>This is a spreadsheet or web-based system for use by each care location participating in the cost of care exercise to work out their breakdown of costs (per resident per week or contact hour) for submission in the cost of care exercise. The spreadsheet or web-based system will contain pre-programmed formulas to help providers consistently calculate these costs.</w:t>
      </w:r>
    </w:p>
    <w:p w14:paraId="3E93DB7A" w14:textId="77777777" w:rsidR="00206DB2" w:rsidRPr="00206DB2" w:rsidRDefault="00206DB2" w:rsidP="00610FD0">
      <w:pPr>
        <w:ind w:right="-851"/>
        <w:jc w:val="both"/>
        <w:rPr>
          <w:rFonts w:ascii="Arial" w:hAnsi="Arial" w:cs="Arial"/>
        </w:rPr>
      </w:pPr>
    </w:p>
    <w:p w14:paraId="4957A0AD" w14:textId="77777777" w:rsidR="00206DB2" w:rsidRPr="00206DB2" w:rsidRDefault="00206DB2" w:rsidP="00206DB2">
      <w:pPr>
        <w:spacing w:after="0" w:line="240" w:lineRule="auto"/>
        <w:rPr>
          <w:rFonts w:ascii="Arial" w:hAnsi="Arial" w:cs="Arial"/>
          <w:b/>
          <w:bCs/>
        </w:rPr>
      </w:pPr>
      <w:r w:rsidRPr="00206DB2">
        <w:rPr>
          <w:rFonts w:ascii="Arial" w:hAnsi="Arial" w:cs="Arial"/>
          <w:b/>
          <w:bCs/>
        </w:rPr>
        <w:br w:type="page"/>
      </w:r>
    </w:p>
    <w:p w14:paraId="41BBE005" w14:textId="77777777" w:rsidR="00206DB2" w:rsidRPr="00206DB2" w:rsidRDefault="00206DB2" w:rsidP="00610FD0">
      <w:pPr>
        <w:ind w:right="-851"/>
        <w:jc w:val="both"/>
        <w:rPr>
          <w:rFonts w:ascii="Arial" w:hAnsi="Arial" w:cs="Arial"/>
          <w:b/>
          <w:bCs/>
        </w:rPr>
      </w:pPr>
      <w:r w:rsidRPr="00206DB2">
        <w:rPr>
          <w:rFonts w:ascii="Arial" w:hAnsi="Arial" w:cs="Arial"/>
          <w:b/>
          <w:bCs/>
        </w:rPr>
        <w:lastRenderedPageBreak/>
        <w:t>Cost of the care data table</w:t>
      </w:r>
    </w:p>
    <w:p w14:paraId="5F8DEB1E" w14:textId="77777777" w:rsidR="00206DB2" w:rsidRPr="00206DB2" w:rsidRDefault="00206DB2" w:rsidP="00610FD0">
      <w:pPr>
        <w:ind w:right="-851"/>
        <w:jc w:val="both"/>
        <w:rPr>
          <w:rFonts w:ascii="Arial" w:hAnsi="Arial" w:cs="Arial"/>
        </w:rPr>
      </w:pPr>
      <w:r w:rsidRPr="00206DB2">
        <w:rPr>
          <w:rFonts w:ascii="Arial" w:hAnsi="Arial" w:cs="Arial"/>
        </w:rPr>
        <w:t>A breakdown of the results of the cost of care exercise for each cost line as set out in Annex A, Section 3, for submission to DHSC.</w:t>
      </w:r>
    </w:p>
    <w:p w14:paraId="6281CCCA" w14:textId="77777777" w:rsidR="00206DB2" w:rsidRPr="00206DB2" w:rsidRDefault="00206DB2" w:rsidP="00610FD0">
      <w:pPr>
        <w:ind w:right="-851"/>
        <w:jc w:val="both"/>
        <w:rPr>
          <w:rFonts w:ascii="Arial" w:hAnsi="Arial" w:cs="Arial"/>
          <w:b/>
          <w:bCs/>
        </w:rPr>
      </w:pPr>
      <w:r w:rsidRPr="00206DB2">
        <w:rPr>
          <w:rFonts w:ascii="Arial" w:hAnsi="Arial" w:cs="Arial"/>
          <w:b/>
          <w:bCs/>
        </w:rPr>
        <w:t>Cost of care report</w:t>
      </w:r>
    </w:p>
    <w:p w14:paraId="289A5AFE" w14:textId="77777777" w:rsidR="00206DB2" w:rsidRPr="00206DB2" w:rsidRDefault="00206DB2" w:rsidP="00610FD0">
      <w:pPr>
        <w:ind w:right="-851"/>
        <w:jc w:val="both"/>
        <w:rPr>
          <w:rFonts w:ascii="Arial" w:hAnsi="Arial" w:cs="Arial"/>
        </w:rPr>
      </w:pPr>
      <w:r w:rsidRPr="00206DB2">
        <w:rPr>
          <w:rFonts w:ascii="Arial" w:hAnsi="Arial" w:cs="Arial"/>
        </w:rPr>
        <w:t>A PDF or Microsoft Word document explaining how the results in the cost of care data table were arrived at, including but not limited to, the contents described in Annex B. Separate reports should be produced for 65+ care homes and 18+ domiciliary care due to their very different cost bases. Local authorities are required to submit these reports to DHSC and publish them on their GOV.UK website.</w:t>
      </w:r>
    </w:p>
    <w:p w14:paraId="44A1948B" w14:textId="77777777" w:rsidR="00206DB2" w:rsidRPr="00206DB2" w:rsidRDefault="00206DB2" w:rsidP="00610FD0">
      <w:pPr>
        <w:ind w:right="-851"/>
        <w:jc w:val="both"/>
        <w:rPr>
          <w:rFonts w:ascii="Arial" w:hAnsi="Arial" w:cs="Arial"/>
          <w:b/>
          <w:bCs/>
        </w:rPr>
      </w:pPr>
      <w:r w:rsidRPr="00206DB2">
        <w:rPr>
          <w:rFonts w:ascii="Arial" w:hAnsi="Arial" w:cs="Arial"/>
          <w:b/>
          <w:bCs/>
        </w:rPr>
        <w:t>Average</w:t>
      </w:r>
    </w:p>
    <w:p w14:paraId="05CC8346" w14:textId="77777777" w:rsidR="00206DB2" w:rsidRPr="00206DB2" w:rsidRDefault="00206DB2" w:rsidP="00610FD0">
      <w:pPr>
        <w:ind w:right="-851"/>
        <w:jc w:val="both"/>
        <w:rPr>
          <w:rFonts w:ascii="Arial" w:hAnsi="Arial" w:cs="Arial"/>
        </w:rPr>
      </w:pPr>
      <w:r w:rsidRPr="00206DB2">
        <w:rPr>
          <w:rFonts w:ascii="Arial" w:hAnsi="Arial" w:cs="Arial"/>
        </w:rPr>
        <w:t>Averages (properly called ‘means’) cover the whole distribution, though have the disadvantage of being skewed by high outlier values.</w:t>
      </w:r>
    </w:p>
    <w:p w14:paraId="11D4C1B1" w14:textId="77777777" w:rsidR="00206DB2" w:rsidRPr="00206DB2" w:rsidRDefault="00206DB2" w:rsidP="00610FD0">
      <w:pPr>
        <w:ind w:right="-851"/>
        <w:jc w:val="both"/>
        <w:rPr>
          <w:rFonts w:ascii="Arial" w:hAnsi="Arial" w:cs="Arial"/>
        </w:rPr>
      </w:pPr>
      <w:r w:rsidRPr="00206DB2">
        <w:rPr>
          <w:rFonts w:ascii="Arial" w:hAnsi="Arial" w:cs="Arial"/>
        </w:rPr>
        <w:t>Local authority fee rates in collections such as the Adult Social Care Finance Return and the Improved Better Care Fund collection are required to be reported as averages. For reporting purposes in this fund, fee rates paid are required to be reported as averages in line with wider fee rate reporting.</w:t>
      </w:r>
    </w:p>
    <w:p w14:paraId="2A174BB0" w14:textId="77777777" w:rsidR="00206DB2" w:rsidRPr="00206DB2" w:rsidRDefault="00206DB2" w:rsidP="00610FD0">
      <w:pPr>
        <w:ind w:right="-851"/>
        <w:jc w:val="both"/>
        <w:rPr>
          <w:rFonts w:ascii="Arial" w:hAnsi="Arial" w:cs="Arial"/>
          <w:b/>
          <w:bCs/>
        </w:rPr>
      </w:pPr>
      <w:r w:rsidRPr="00206DB2">
        <w:rPr>
          <w:rFonts w:ascii="Arial" w:hAnsi="Arial" w:cs="Arial"/>
          <w:b/>
          <w:bCs/>
        </w:rPr>
        <w:t>Median</w:t>
      </w:r>
    </w:p>
    <w:p w14:paraId="5ABF751B" w14:textId="77777777" w:rsidR="00206DB2" w:rsidRPr="00206DB2" w:rsidRDefault="00206DB2" w:rsidP="00610FD0">
      <w:pPr>
        <w:ind w:right="-851"/>
        <w:jc w:val="both"/>
        <w:rPr>
          <w:rFonts w:ascii="Arial" w:hAnsi="Arial" w:cs="Arial"/>
        </w:rPr>
      </w:pPr>
      <w:r w:rsidRPr="00206DB2">
        <w:rPr>
          <w:rFonts w:ascii="Arial" w:hAnsi="Arial" w:cs="Arial"/>
        </w:rPr>
        <w:t>Medians represent the middle value when a distribution (for example fee rates) is ordered by size (for example by the amount of the fee rate). The advantage of medians compared to averages is that they are less skewed by high outlier values.</w:t>
      </w:r>
    </w:p>
    <w:p w14:paraId="7DFC624C" w14:textId="77777777" w:rsidR="00206DB2" w:rsidRPr="00206DB2" w:rsidRDefault="00206DB2" w:rsidP="00610FD0">
      <w:pPr>
        <w:ind w:right="-851"/>
        <w:jc w:val="both"/>
        <w:rPr>
          <w:rFonts w:ascii="Arial" w:hAnsi="Arial" w:cs="Arial"/>
        </w:rPr>
      </w:pPr>
      <w:r w:rsidRPr="00206DB2">
        <w:rPr>
          <w:rFonts w:ascii="Arial" w:hAnsi="Arial" w:cs="Arial"/>
        </w:rPr>
        <w:t>Data collected through the cost of care exercise are required to be reported as medians to account for outliers in the distributions that are being analysed (such as staffing ratios or staff costs per resident at location level).</w:t>
      </w:r>
    </w:p>
    <w:p w14:paraId="5654077A" w14:textId="77777777" w:rsidR="00206DB2" w:rsidRPr="00206DB2" w:rsidRDefault="00206DB2" w:rsidP="00610FD0">
      <w:pPr>
        <w:ind w:right="-851"/>
        <w:jc w:val="both"/>
        <w:rPr>
          <w:rFonts w:ascii="Arial" w:hAnsi="Arial" w:cs="Arial"/>
          <w:b/>
          <w:bCs/>
        </w:rPr>
      </w:pPr>
      <w:r w:rsidRPr="00206DB2">
        <w:rPr>
          <w:rFonts w:ascii="Arial" w:hAnsi="Arial" w:cs="Arial"/>
          <w:b/>
          <w:bCs/>
        </w:rPr>
        <w:t>Sustainable market</w:t>
      </w:r>
    </w:p>
    <w:p w14:paraId="70AFB58C" w14:textId="77777777" w:rsidR="00206DB2" w:rsidRPr="00206DB2" w:rsidRDefault="00206DB2" w:rsidP="00610FD0">
      <w:pPr>
        <w:ind w:right="-851"/>
        <w:jc w:val="both"/>
        <w:rPr>
          <w:rFonts w:ascii="Arial" w:hAnsi="Arial" w:cs="Arial"/>
        </w:rPr>
      </w:pPr>
      <w:r w:rsidRPr="00206DB2">
        <w:rPr>
          <w:rFonts w:ascii="Arial" w:hAnsi="Arial" w:cs="Arial"/>
        </w:rPr>
        <w:t>A sustainable market has a sufficient supply of services but with provider entry and exit, investment, innovation, the choice for people who draw on care, and sufficient workforce supply. It also refers to a market which operates efficiently and effectively, linked to the market shaping duty placed on local authorities under section 5 of the Care Act 2014. Further detail on this can be found in the market sustainability plans section of the guidance.</w:t>
      </w:r>
    </w:p>
    <w:p w14:paraId="1FD4C116" w14:textId="77777777" w:rsidR="00206DB2" w:rsidRPr="00206DB2" w:rsidRDefault="00206DB2" w:rsidP="00610FD0">
      <w:pPr>
        <w:ind w:right="-851"/>
        <w:jc w:val="both"/>
        <w:rPr>
          <w:rFonts w:ascii="Arial" w:hAnsi="Arial" w:cs="Arial"/>
          <w:b/>
          <w:bCs/>
        </w:rPr>
      </w:pPr>
      <w:r w:rsidRPr="00206DB2">
        <w:rPr>
          <w:rFonts w:ascii="Arial" w:hAnsi="Arial" w:cs="Arial"/>
          <w:b/>
          <w:bCs/>
        </w:rPr>
        <w:t>Enterprise Scale</w:t>
      </w:r>
    </w:p>
    <w:p w14:paraId="40001AF8" w14:textId="77777777" w:rsidR="00206DB2" w:rsidRPr="00206DB2" w:rsidRDefault="00206DB2" w:rsidP="00610FD0">
      <w:pPr>
        <w:ind w:right="-851"/>
        <w:jc w:val="both"/>
        <w:rPr>
          <w:rFonts w:ascii="Arial" w:hAnsi="Arial" w:cs="Arial"/>
        </w:rPr>
      </w:pPr>
      <w:r w:rsidRPr="00206DB2">
        <w:rPr>
          <w:rFonts w:ascii="Arial" w:hAnsi="Arial" w:cs="Arial"/>
        </w:rPr>
        <w:t>LaingBuisson use enterprise scale to refer to the number of home care providers/care homes operated by the same service provider as obtained from the CQC.</w:t>
      </w:r>
    </w:p>
    <w:p w14:paraId="01002BF9" w14:textId="7EA3A926" w:rsidR="00206DB2" w:rsidRDefault="00206DB2">
      <w:pPr>
        <w:rPr>
          <w:rFonts w:ascii="Arial" w:hAnsi="Arial" w:cs="Arial"/>
        </w:rPr>
      </w:pPr>
    </w:p>
    <w:p w14:paraId="679D11C3" w14:textId="0FBF4E12" w:rsidR="00206DB2" w:rsidRDefault="00206DB2">
      <w:pPr>
        <w:rPr>
          <w:rFonts w:ascii="Arial" w:hAnsi="Arial" w:cs="Arial"/>
        </w:rPr>
      </w:pPr>
    </w:p>
    <w:p w14:paraId="3922AF0E" w14:textId="02A26D81" w:rsidR="00206DB2" w:rsidRDefault="00206DB2">
      <w:pPr>
        <w:rPr>
          <w:rFonts w:ascii="Arial" w:hAnsi="Arial" w:cs="Arial"/>
        </w:rPr>
      </w:pPr>
    </w:p>
    <w:p w14:paraId="5EE97DD5" w14:textId="77777777" w:rsidR="00206DB2" w:rsidRPr="00995855" w:rsidRDefault="00206DB2">
      <w:pPr>
        <w:rPr>
          <w:rFonts w:ascii="Arial" w:hAnsi="Arial" w:cs="Arial"/>
        </w:rPr>
      </w:pPr>
    </w:p>
    <w:sectPr w:rsidR="00206DB2" w:rsidRPr="00995855" w:rsidSect="006C206C">
      <w:headerReference w:type="default" r:id="rId20"/>
      <w:footerReference w:type="default" r:id="rId21"/>
      <w:pgSz w:w="11906" w:h="16838"/>
      <w:pgMar w:top="1134" w:right="1558"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434D" w14:textId="77777777" w:rsidR="00FA2DDA" w:rsidRDefault="00FA2DDA" w:rsidP="00995855">
      <w:pPr>
        <w:spacing w:after="0" w:line="240" w:lineRule="auto"/>
      </w:pPr>
      <w:r>
        <w:separator/>
      </w:r>
    </w:p>
  </w:endnote>
  <w:endnote w:type="continuationSeparator" w:id="0">
    <w:p w14:paraId="08D85A3F" w14:textId="77777777" w:rsidR="00FA2DDA" w:rsidRDefault="00FA2DDA" w:rsidP="0099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1)">
    <w:altName w:val="Arial"/>
    <w:charset w:val="00"/>
    <w:family w:val="auto"/>
    <w:pitch w:val="variable"/>
    <w:sig w:usb0="E0002AFF" w:usb1="C0007843" w:usb2="00000009" w:usb3="00000000" w:csb0="000001FF" w:csb1="00000000"/>
  </w:font>
  <w:font w:name="AGaramond-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ntax-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520702"/>
      <w:docPartObj>
        <w:docPartGallery w:val="Page Numbers (Bottom of Page)"/>
        <w:docPartUnique/>
      </w:docPartObj>
    </w:sdtPr>
    <w:sdtEndPr>
      <w:rPr>
        <w:noProof/>
      </w:rPr>
    </w:sdtEndPr>
    <w:sdtContent>
      <w:p w14:paraId="3EECEBAE" w14:textId="63B3D99C" w:rsidR="00FA2DDA" w:rsidRDefault="00FA2D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5C92D3" w14:textId="77777777" w:rsidR="00FA2DDA" w:rsidRDefault="00FA2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FAAF" w14:textId="77777777" w:rsidR="00FA2DDA" w:rsidRDefault="00FA2DDA" w:rsidP="00995855">
      <w:pPr>
        <w:spacing w:after="0" w:line="240" w:lineRule="auto"/>
      </w:pPr>
      <w:r>
        <w:separator/>
      </w:r>
    </w:p>
  </w:footnote>
  <w:footnote w:type="continuationSeparator" w:id="0">
    <w:p w14:paraId="5A544EC4" w14:textId="77777777" w:rsidR="00FA2DDA" w:rsidRDefault="00FA2DDA" w:rsidP="00995855">
      <w:pPr>
        <w:spacing w:after="0" w:line="240" w:lineRule="auto"/>
      </w:pPr>
      <w:r>
        <w:continuationSeparator/>
      </w:r>
    </w:p>
  </w:footnote>
  <w:footnote w:id="1">
    <w:p w14:paraId="52DDCD2A" w14:textId="77777777" w:rsidR="00FA2DDA" w:rsidRPr="00D4103A" w:rsidRDefault="00FA2DDA" w:rsidP="00995855">
      <w:pPr>
        <w:spacing w:after="0"/>
        <w:rPr>
          <w:color w:val="auto"/>
          <w:sz w:val="16"/>
          <w:szCs w:val="16"/>
        </w:rPr>
      </w:pPr>
      <w:r w:rsidRPr="00D4103A">
        <w:rPr>
          <w:rStyle w:val="FootnoteReference"/>
          <w:rFonts w:asciiTheme="minorHAnsi" w:hAnsiTheme="minorHAnsi" w:cstheme="minorHAnsi"/>
          <w:color w:val="auto"/>
          <w:sz w:val="16"/>
          <w:szCs w:val="16"/>
        </w:rPr>
        <w:footnoteRef/>
      </w:r>
      <w:r w:rsidRPr="00D4103A">
        <w:rPr>
          <w:color w:val="auto"/>
          <w:sz w:val="16"/>
          <w:szCs w:val="16"/>
        </w:rPr>
        <w:t xml:space="preserve"> Market Sustainability and Fair Cost of Care Fund 2022 to 2023: guidance, updated 25 August 2022</w:t>
      </w:r>
    </w:p>
    <w:p w14:paraId="795E756A" w14:textId="03851962" w:rsidR="00FA2DDA" w:rsidRPr="00D4103A" w:rsidRDefault="009A1A07" w:rsidP="00995855">
      <w:pPr>
        <w:spacing w:after="0"/>
        <w:rPr>
          <w:rStyle w:val="Hyperlink"/>
          <w:rFonts w:asciiTheme="minorHAnsi" w:hAnsiTheme="minorHAnsi" w:cstheme="minorHAnsi"/>
          <w:color w:val="auto"/>
          <w:sz w:val="16"/>
          <w:szCs w:val="16"/>
        </w:rPr>
      </w:pPr>
      <w:hyperlink r:id="rId1" w:history="1">
        <w:r w:rsidR="00FA2DDA" w:rsidRPr="00D4103A">
          <w:rPr>
            <w:rStyle w:val="Hyperlink"/>
            <w:rFonts w:asciiTheme="minorHAnsi" w:hAnsiTheme="minorHAnsi" w:cstheme="minorHAnsi"/>
            <w:color w:val="auto"/>
            <w:sz w:val="16"/>
            <w:szCs w:val="16"/>
          </w:rPr>
          <w:t>https://www.gov.uk/government/publications/market-sustainability-and-fair-cost-of-care-fund-2022-to-2023-guidance</w:t>
        </w:r>
      </w:hyperlink>
    </w:p>
    <w:p w14:paraId="0CAB8F21" w14:textId="77777777" w:rsidR="00FA2DDA" w:rsidRPr="00B70DBB" w:rsidRDefault="00FA2DDA" w:rsidP="00995855">
      <w:pPr>
        <w:spacing w:after="0" w:line="240" w:lineRule="auto"/>
        <w:jc w:val="both"/>
        <w:rPr>
          <w:rFonts w:asciiTheme="minorHAnsi" w:hAnsiTheme="minorHAnsi" w:cstheme="minorHAnsi"/>
          <w:sz w:val="20"/>
          <w:szCs w:val="20"/>
        </w:rPr>
      </w:pPr>
    </w:p>
  </w:footnote>
  <w:footnote w:id="2">
    <w:p w14:paraId="2C9E8B0E" w14:textId="77777777" w:rsidR="00FA2DDA" w:rsidRPr="005D7A10" w:rsidRDefault="00FA2DDA" w:rsidP="00995855">
      <w:pPr>
        <w:rPr>
          <w:color w:val="auto"/>
          <w:sz w:val="16"/>
          <w:szCs w:val="16"/>
        </w:rPr>
      </w:pPr>
      <w:r w:rsidRPr="005D7A10">
        <w:rPr>
          <w:rStyle w:val="FootnoteReference"/>
          <w:color w:val="auto"/>
          <w:sz w:val="16"/>
          <w:szCs w:val="16"/>
        </w:rPr>
        <w:footnoteRef/>
      </w:r>
      <w:r w:rsidRPr="005D7A10">
        <w:rPr>
          <w:color w:val="auto"/>
          <w:sz w:val="16"/>
          <w:szCs w:val="16"/>
        </w:rPr>
        <w:t xml:space="preserve"> It should be noted that the segmentation into four care home modalities, Standard / Enhanced, Residential / Nursing, does not necessarily capture the full range of possible sub-segmentation that exists within the care home sector.</w:t>
      </w:r>
    </w:p>
    <w:p w14:paraId="5949560D" w14:textId="77777777" w:rsidR="00FA2DDA" w:rsidRDefault="00FA2DDA" w:rsidP="00995855">
      <w:pPr>
        <w:pStyle w:val="FootnoteText"/>
      </w:pPr>
    </w:p>
  </w:footnote>
  <w:footnote w:id="3">
    <w:p w14:paraId="6D7712E0" w14:textId="59707277" w:rsidR="00FA2DDA" w:rsidRPr="00182F79" w:rsidRDefault="00FA2DDA" w:rsidP="00995855">
      <w:pPr>
        <w:pStyle w:val="FootnoteText"/>
        <w:rPr>
          <w:rFonts w:asciiTheme="minorHAnsi" w:hAnsiTheme="minorHAnsi" w:cstheme="minorHAnsi"/>
          <w:sz w:val="18"/>
          <w:szCs w:val="18"/>
        </w:rPr>
      </w:pPr>
      <w:r w:rsidRPr="00182F79">
        <w:rPr>
          <w:rStyle w:val="FootnoteReference"/>
          <w:rFonts w:asciiTheme="minorHAnsi" w:hAnsiTheme="minorHAnsi" w:cstheme="minorHAnsi"/>
          <w:sz w:val="18"/>
          <w:szCs w:val="18"/>
        </w:rPr>
        <w:footnoteRef/>
      </w:r>
      <w:r w:rsidRPr="00182F79">
        <w:rPr>
          <w:rFonts w:asciiTheme="minorHAnsi" w:hAnsiTheme="minorHAnsi" w:cstheme="minorHAnsi"/>
          <w:sz w:val="18"/>
          <w:szCs w:val="18"/>
        </w:rPr>
        <w:t xml:space="preserve"> LaingBuisson has collected </w:t>
      </w:r>
      <w:r>
        <w:rPr>
          <w:rFonts w:asciiTheme="minorHAnsi" w:hAnsiTheme="minorHAnsi" w:cstheme="minorHAnsi"/>
          <w:sz w:val="18"/>
          <w:szCs w:val="18"/>
        </w:rPr>
        <w:t xml:space="preserve">cost </w:t>
      </w:r>
      <w:r w:rsidRPr="00182F79">
        <w:rPr>
          <w:rFonts w:asciiTheme="minorHAnsi" w:hAnsiTheme="minorHAnsi" w:cstheme="minorHAnsi"/>
          <w:sz w:val="18"/>
          <w:szCs w:val="18"/>
        </w:rPr>
        <w:t xml:space="preserve">data from UK wide care home surveys </w:t>
      </w:r>
      <w:r>
        <w:rPr>
          <w:rFonts w:asciiTheme="minorHAnsi" w:hAnsiTheme="minorHAnsi" w:cstheme="minorHAnsi"/>
          <w:sz w:val="18"/>
          <w:szCs w:val="18"/>
        </w:rPr>
        <w:t xml:space="preserve">and local Fair Price exercises commissioned by councils, the NHS and independent care associations </w:t>
      </w:r>
      <w:r w:rsidRPr="00182F79">
        <w:rPr>
          <w:rFonts w:asciiTheme="minorHAnsi" w:hAnsiTheme="minorHAnsi" w:cstheme="minorHAnsi"/>
          <w:sz w:val="18"/>
          <w:szCs w:val="18"/>
        </w:rPr>
        <w:t>over more than a decad</w:t>
      </w:r>
      <w:r>
        <w:rPr>
          <w:rFonts w:asciiTheme="minorHAnsi" w:hAnsiTheme="minorHAnsi" w:cstheme="minorHAnsi"/>
          <w:sz w:val="18"/>
          <w:szCs w:val="18"/>
        </w:rPr>
        <w:t>e. They</w:t>
      </w:r>
      <w:r w:rsidRPr="00182F79">
        <w:rPr>
          <w:rFonts w:asciiTheme="minorHAnsi" w:hAnsiTheme="minorHAnsi" w:cstheme="minorHAnsi"/>
          <w:sz w:val="18"/>
          <w:szCs w:val="18"/>
        </w:rPr>
        <w:t xml:space="preserve"> provid</w:t>
      </w:r>
      <w:r>
        <w:rPr>
          <w:rFonts w:asciiTheme="minorHAnsi" w:hAnsiTheme="minorHAnsi" w:cstheme="minorHAnsi"/>
          <w:sz w:val="18"/>
          <w:szCs w:val="18"/>
        </w:rPr>
        <w:t>ed</w:t>
      </w:r>
      <w:r w:rsidRPr="00182F79">
        <w:rPr>
          <w:rFonts w:asciiTheme="minorHAnsi" w:hAnsiTheme="minorHAnsi" w:cstheme="minorHAnsi"/>
          <w:sz w:val="18"/>
          <w:szCs w:val="18"/>
        </w:rPr>
        <w:t xml:space="preserve"> a useful source of benchmarking data against which </w:t>
      </w:r>
      <w:r>
        <w:rPr>
          <w:rFonts w:asciiTheme="minorHAnsi" w:hAnsiTheme="minorHAnsi" w:cstheme="minorHAnsi"/>
          <w:sz w:val="18"/>
          <w:szCs w:val="18"/>
        </w:rPr>
        <w:t xml:space="preserve">2022 </w:t>
      </w:r>
      <w:r w:rsidRPr="00182F79">
        <w:rPr>
          <w:rFonts w:asciiTheme="minorHAnsi" w:hAnsiTheme="minorHAnsi" w:cstheme="minorHAnsi"/>
          <w:sz w:val="18"/>
          <w:szCs w:val="18"/>
        </w:rPr>
        <w:t>FCoC toolkit submissions c</w:t>
      </w:r>
      <w:r>
        <w:rPr>
          <w:rFonts w:asciiTheme="minorHAnsi" w:hAnsiTheme="minorHAnsi" w:cstheme="minorHAnsi"/>
          <w:sz w:val="18"/>
          <w:szCs w:val="18"/>
        </w:rPr>
        <w:t>ould</w:t>
      </w:r>
      <w:r w:rsidRPr="00182F79">
        <w:rPr>
          <w:rFonts w:asciiTheme="minorHAnsi" w:hAnsiTheme="minorHAnsi" w:cstheme="minorHAnsi"/>
          <w:sz w:val="18"/>
          <w:szCs w:val="18"/>
        </w:rPr>
        <w:t xml:space="preserve"> be compared</w:t>
      </w:r>
      <w:r>
        <w:rPr>
          <w:rFonts w:asciiTheme="minorHAnsi" w:hAnsiTheme="minorHAnsi" w:cstheme="minorHAnsi"/>
          <w:sz w:val="18"/>
          <w:szCs w:val="18"/>
        </w:rPr>
        <w:t>, in particular with regard to staff hours per resident per week, which is the single most important driver of care home costs.</w:t>
      </w:r>
    </w:p>
  </w:footnote>
  <w:footnote w:id="4">
    <w:p w14:paraId="0C1C19A2" w14:textId="462DB936" w:rsidR="00FA2DDA" w:rsidRPr="00BF6CFC" w:rsidRDefault="00FA2DDA" w:rsidP="00995855">
      <w:pPr>
        <w:spacing w:after="0"/>
        <w:rPr>
          <w:color w:val="auto"/>
          <w:sz w:val="16"/>
          <w:szCs w:val="16"/>
        </w:rPr>
      </w:pPr>
      <w:r>
        <w:rPr>
          <w:rStyle w:val="FootnoteReference"/>
          <w:color w:val="auto"/>
          <w:sz w:val="16"/>
          <w:szCs w:val="16"/>
        </w:rPr>
        <w:t>7</w:t>
      </w:r>
      <w:r w:rsidRPr="00BF6CFC">
        <w:rPr>
          <w:color w:val="auto"/>
          <w:sz w:val="16"/>
          <w:szCs w:val="16"/>
        </w:rPr>
        <w:t xml:space="preserve"> Table 22, </w:t>
      </w:r>
      <w:hyperlink r:id="rId2" w:history="1">
        <w:r w:rsidRPr="001361A8">
          <w:rPr>
            <w:rStyle w:val="Hyperlink"/>
            <w:sz w:val="16"/>
            <w:szCs w:val="16"/>
          </w:rPr>
          <w:t>https://www.ons.gov.uk/economy/inflationandpriceindices/datasets/consumerpriceinflation</w:t>
        </w:r>
      </w:hyperlink>
      <w:r>
        <w:rPr>
          <w:color w:val="auto"/>
          <w:sz w:val="16"/>
          <w:szCs w:val="16"/>
        </w:rPr>
        <w:t xml:space="preserve"> </w:t>
      </w:r>
    </w:p>
  </w:footnote>
  <w:footnote w:id="5">
    <w:p w14:paraId="2D1011E0" w14:textId="6D7FE4C1" w:rsidR="00FA2DDA" w:rsidRPr="00BF6CFC" w:rsidRDefault="00FA2DDA" w:rsidP="00995855">
      <w:pPr>
        <w:spacing w:after="0"/>
        <w:rPr>
          <w:color w:val="auto"/>
          <w:sz w:val="16"/>
          <w:szCs w:val="16"/>
        </w:rPr>
      </w:pPr>
      <w:r>
        <w:rPr>
          <w:rStyle w:val="FootnoteReference"/>
          <w:color w:val="auto"/>
          <w:sz w:val="16"/>
          <w:szCs w:val="16"/>
        </w:rPr>
        <w:t>8</w:t>
      </w:r>
      <w:r w:rsidRPr="00BF6CFC">
        <w:rPr>
          <w:color w:val="auto"/>
          <w:sz w:val="16"/>
          <w:szCs w:val="16"/>
        </w:rPr>
        <w:t xml:space="preserve"> Our approach to uplifting is broadly in line with guidance on inflationary adjustment set out in The Green Book 2022, Section 5.13, </w:t>
      </w:r>
      <w:r>
        <w:rPr>
          <w:color w:val="auto"/>
          <w:sz w:val="16"/>
          <w:szCs w:val="16"/>
        </w:rPr>
        <w:t xml:space="preserve"> </w:t>
      </w:r>
      <w:hyperlink r:id="rId3" w:history="1">
        <w:r w:rsidRPr="001361A8">
          <w:rPr>
            <w:rStyle w:val="Hyperlink"/>
            <w:sz w:val="16"/>
            <w:szCs w:val="16"/>
          </w:rPr>
          <w:t>https://assets.publishing.service.gov.uk/government/uploads/system/uploads/attachment_data/file/1063330/Green_Book_2022.pdf</w:t>
        </w:r>
      </w:hyperlink>
      <w:r>
        <w:rPr>
          <w:color w:val="auto"/>
          <w:sz w:val="16"/>
          <w:szCs w:val="16"/>
        </w:rPr>
        <w:t xml:space="preserve"> </w:t>
      </w:r>
    </w:p>
  </w:footnote>
  <w:footnote w:id="6">
    <w:p w14:paraId="1B94BEDA" w14:textId="4116B8FF" w:rsidR="00FA2DDA" w:rsidRPr="00790A0B" w:rsidRDefault="00FA2DDA" w:rsidP="003C08B5">
      <w:pPr>
        <w:rPr>
          <w:sz w:val="20"/>
          <w:szCs w:val="20"/>
        </w:rPr>
      </w:pPr>
      <w:r>
        <w:rPr>
          <w:rStyle w:val="FootnoteReference"/>
          <w:color w:val="auto"/>
          <w:sz w:val="18"/>
          <w:szCs w:val="18"/>
        </w:rPr>
        <w:t>9</w:t>
      </w:r>
      <w:r w:rsidRPr="0040614B">
        <w:rPr>
          <w:color w:val="auto"/>
          <w:sz w:val="18"/>
          <w:szCs w:val="18"/>
        </w:rPr>
        <w:t xml:space="preserve"> </w:t>
      </w:r>
      <w:hyperlink r:id="rId4" w:anchor=":~:text=The%20improvement%20in%20the%20economic,2.2%20per%20cent)%20in%202021" w:history="1">
        <w:r w:rsidRPr="001361A8">
          <w:rPr>
            <w:rStyle w:val="Hyperlink"/>
            <w:sz w:val="18"/>
            <w:szCs w:val="18"/>
          </w:rPr>
          <w:t>https://www.gov.uk/government/news/national-living-wage-increase-boosts-pay-of-low-paid-workers#:~:text=The%20improvement%20in%20the%20economic,2.2%20per%20cent)%20in%202021</w:t>
        </w:r>
      </w:hyperlink>
      <w:r w:rsidRPr="0040614B">
        <w:rPr>
          <w:color w:val="auto"/>
          <w:sz w:val="18"/>
          <w:szCs w:val="18"/>
        </w:rPr>
        <w:t>.</w:t>
      </w:r>
      <w:r>
        <w:rPr>
          <w:color w:val="auto"/>
          <w:sz w:val="18"/>
          <w:szCs w:val="18"/>
        </w:rPr>
        <w:t xml:space="preserve"> </w:t>
      </w:r>
    </w:p>
  </w:footnote>
  <w:footnote w:id="7">
    <w:p w14:paraId="23399E3D" w14:textId="4E5A01D3" w:rsidR="00FA2DDA" w:rsidRPr="00A72ABE" w:rsidRDefault="00FA2DDA" w:rsidP="00384202">
      <w:pPr>
        <w:rPr>
          <w:rFonts w:ascii="Arial" w:hAnsi="Arial" w:cs="Arial"/>
          <w:sz w:val="18"/>
          <w:szCs w:val="18"/>
        </w:rPr>
      </w:pPr>
      <w:r w:rsidRPr="00AC4BB3">
        <w:rPr>
          <w:rFonts w:ascii="Arial" w:hAnsi="Arial" w:cs="Arial"/>
          <w:color w:val="auto"/>
          <w:sz w:val="10"/>
          <w:szCs w:val="10"/>
        </w:rPr>
        <w:t>10</w:t>
      </w:r>
      <w:r>
        <w:rPr>
          <w:rFonts w:ascii="Arial" w:hAnsi="Arial" w:cs="Arial"/>
          <w:color w:val="auto"/>
          <w:sz w:val="14"/>
          <w:szCs w:val="14"/>
        </w:rPr>
        <w:t xml:space="preserve"> </w:t>
      </w:r>
      <w:r w:rsidRPr="00A72ABE">
        <w:rPr>
          <w:rFonts w:ascii="Arial" w:hAnsi="Arial" w:cs="Arial"/>
          <w:color w:val="auto"/>
          <w:sz w:val="14"/>
          <w:szCs w:val="14"/>
        </w:rPr>
        <w:t xml:space="preserve"> Tables 8 and 22, </w:t>
      </w:r>
      <w:hyperlink r:id="rId5" w:history="1">
        <w:r w:rsidRPr="00A72ABE">
          <w:rPr>
            <w:rStyle w:val="Hyperlink"/>
            <w:rFonts w:ascii="Arial" w:hAnsi="Arial" w:cs="Arial"/>
            <w:sz w:val="14"/>
            <w:szCs w:val="14"/>
          </w:rPr>
          <w:t>https://www.ons.gov.uk/economy/inflationandpriceindices/datasets/consumerpriceinflation</w:t>
        </w:r>
      </w:hyperlink>
      <w:r w:rsidRPr="00A72ABE">
        <w:rPr>
          <w:rFonts w:ascii="Arial" w:hAnsi="Arial" w:cs="Arial"/>
          <w:color w:val="auto"/>
          <w:sz w:val="14"/>
          <w:szCs w:val="14"/>
        </w:rPr>
        <w:t xml:space="preserve"> </w:t>
      </w:r>
    </w:p>
  </w:footnote>
  <w:footnote w:id="8">
    <w:p w14:paraId="45D5CF23" w14:textId="384D2DB3" w:rsidR="00FA2DDA" w:rsidRPr="00AF7AF6" w:rsidRDefault="00FA2DDA" w:rsidP="00995855">
      <w:pPr>
        <w:pStyle w:val="FootnoteText"/>
        <w:spacing w:after="240"/>
        <w:rPr>
          <w:rFonts w:cs="Arial"/>
          <w:sz w:val="14"/>
          <w:szCs w:val="14"/>
        </w:rPr>
      </w:pPr>
      <w:r w:rsidRPr="00AC4BB3">
        <w:rPr>
          <w:rFonts w:cs="Arial"/>
          <w:sz w:val="8"/>
          <w:szCs w:val="8"/>
        </w:rPr>
        <w:t>11</w:t>
      </w:r>
      <w:r>
        <w:rPr>
          <w:rFonts w:cs="Arial"/>
          <w:sz w:val="14"/>
          <w:szCs w:val="14"/>
        </w:rPr>
        <w:t xml:space="preserve"> </w:t>
      </w:r>
      <w:r w:rsidRPr="00AF7AF6">
        <w:rPr>
          <w:rFonts w:cs="Arial"/>
          <w:sz w:val="14"/>
          <w:szCs w:val="14"/>
        </w:rPr>
        <w:t xml:space="preserve"> We cannot, however, rule out the possibility that providers may have overstated their costs, and it was not practicable within the timescale available to carry out a range of checks applied by LaingBuisson in other cost of care exercises, including requesting evidence of staff costs from payroll records. </w:t>
      </w:r>
    </w:p>
  </w:footnote>
  <w:footnote w:id="9">
    <w:p w14:paraId="367838D3" w14:textId="7D92A7B4" w:rsidR="00FA2DDA" w:rsidRDefault="00FA2DDA" w:rsidP="00995855">
      <w:pPr>
        <w:spacing w:after="240" w:line="240" w:lineRule="auto"/>
        <w:jc w:val="both"/>
        <w:rPr>
          <w:rFonts w:asciiTheme="minorHAnsi" w:hAnsiTheme="minorHAnsi" w:cstheme="minorHAnsi"/>
          <w:color w:val="auto"/>
          <w:sz w:val="16"/>
          <w:szCs w:val="16"/>
        </w:rPr>
      </w:pPr>
      <w:r w:rsidRPr="00AC4BB3">
        <w:rPr>
          <w:rStyle w:val="FootnoteReference"/>
          <w:rFonts w:ascii="Arial" w:hAnsi="Arial" w:cs="Arial"/>
          <w:color w:val="auto"/>
          <w:sz w:val="10"/>
          <w:szCs w:val="10"/>
        </w:rPr>
        <w:t>1</w:t>
      </w:r>
      <w:r w:rsidRPr="00AC4BB3">
        <w:rPr>
          <w:rFonts w:ascii="Arial" w:hAnsi="Arial" w:cs="Arial"/>
          <w:color w:val="auto"/>
          <w:sz w:val="10"/>
          <w:szCs w:val="10"/>
        </w:rPr>
        <w:t>2</w:t>
      </w:r>
      <w:r>
        <w:rPr>
          <w:rFonts w:ascii="Arial" w:hAnsi="Arial" w:cs="Arial"/>
          <w:color w:val="auto"/>
          <w:sz w:val="14"/>
          <w:szCs w:val="14"/>
        </w:rPr>
        <w:t xml:space="preserve"> </w:t>
      </w:r>
      <w:r w:rsidRPr="00AF7AF6">
        <w:rPr>
          <w:rFonts w:ascii="Arial" w:hAnsi="Arial" w:cs="Arial"/>
          <w:color w:val="auto"/>
          <w:sz w:val="14"/>
          <w:szCs w:val="14"/>
        </w:rPr>
        <w:t>Variability in staff input is consistent with all previous cost of care exercises carried out by LaingBuisson. It may be attributed to a number of factors including the dependency levels of residents, the capacity of staff to cater of difference levels of need and the scale and physical layout of homes. The absence of homogeneity means that cost of care exercises cannot aspire to identifying a single ‘true’ cost of care for all efficient providers, not even when segmented into the four modalities of residential / nursing / enhanced / not enhanced. In the absence of any more</w:t>
      </w:r>
      <w:r w:rsidRPr="00AF7AF6">
        <w:rPr>
          <w:rFonts w:asciiTheme="minorHAnsi" w:hAnsiTheme="minorHAnsi" w:cstheme="minorHAnsi"/>
          <w:color w:val="auto"/>
          <w:sz w:val="14"/>
          <w:szCs w:val="14"/>
        </w:rPr>
        <w:t xml:space="preserve"> </w:t>
      </w:r>
      <w:r w:rsidRPr="0084182A">
        <w:rPr>
          <w:rFonts w:asciiTheme="minorHAnsi" w:hAnsiTheme="minorHAnsi" w:cstheme="minorHAnsi"/>
          <w:color w:val="auto"/>
          <w:sz w:val="16"/>
          <w:szCs w:val="16"/>
        </w:rPr>
        <w:t xml:space="preserve">developed needs matrix than </w:t>
      </w:r>
      <w:r w:rsidRPr="00AF7AF6">
        <w:rPr>
          <w:rFonts w:ascii="Arial" w:hAnsi="Arial" w:cs="Arial"/>
          <w:color w:val="auto"/>
          <w:sz w:val="14"/>
          <w:szCs w:val="14"/>
        </w:rPr>
        <w:t>exists at present, cost of care exercises can only aspire to identifying a reasonable sector wide average, or median, around which the costs of individual homes inevitable vary.</w:t>
      </w:r>
    </w:p>
    <w:p w14:paraId="3D28B897" w14:textId="10CCDB04" w:rsidR="00FA2DDA" w:rsidRDefault="00FA2DDA" w:rsidP="00995855">
      <w:pPr>
        <w:pStyle w:val="FootnoteText"/>
      </w:pPr>
    </w:p>
    <w:p w14:paraId="1DFAE24D" w14:textId="3CC86024" w:rsidR="00FA2DDA" w:rsidRDefault="00FA2DDA" w:rsidP="00995855">
      <w:pPr>
        <w:pStyle w:val="FootnoteText"/>
      </w:pPr>
    </w:p>
    <w:p w14:paraId="6E1D1972" w14:textId="77777777" w:rsidR="00FA2DDA" w:rsidRDefault="00FA2DDA" w:rsidP="00995855">
      <w:pPr>
        <w:pStyle w:val="FootnoteText"/>
      </w:pPr>
    </w:p>
  </w:footnote>
  <w:footnote w:id="10">
    <w:p w14:paraId="5E3E4CB3" w14:textId="069E01E5" w:rsidR="00FA2DDA" w:rsidRPr="0084182A" w:rsidRDefault="00FA2DDA" w:rsidP="00995855">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t>1</w:t>
      </w:r>
      <w:r>
        <w:rPr>
          <w:rFonts w:asciiTheme="minorHAnsi" w:hAnsiTheme="minorHAnsi" w:cstheme="minorHAnsi"/>
          <w:sz w:val="16"/>
          <w:szCs w:val="16"/>
        </w:rPr>
        <w:t>3</w:t>
      </w:r>
      <w:r w:rsidRPr="0084182A">
        <w:rPr>
          <w:rFonts w:asciiTheme="minorHAnsi" w:hAnsiTheme="minorHAnsi" w:cstheme="minorHAnsi"/>
          <w:sz w:val="16"/>
          <w:szCs w:val="16"/>
        </w:rPr>
        <w:t xml:space="preserve"> EBITDARM stands for Earnings Before Interest, Tax, Depreciation, Amortisation of goodwill, Rent on leased premises and central Management overheads</w:t>
      </w:r>
    </w:p>
  </w:footnote>
  <w:footnote w:id="11">
    <w:p w14:paraId="171152AF" w14:textId="13AB93A3" w:rsidR="00FA2DDA" w:rsidRPr="0084182A" w:rsidRDefault="00FA2DDA" w:rsidP="00995855">
      <w:pPr>
        <w:spacing w:after="0" w:line="240" w:lineRule="auto"/>
        <w:jc w:val="both"/>
        <w:rPr>
          <w:rFonts w:asciiTheme="minorHAnsi" w:hAnsiTheme="minorHAnsi" w:cstheme="minorHAnsi"/>
          <w:color w:val="auto"/>
          <w:sz w:val="16"/>
          <w:szCs w:val="16"/>
        </w:rPr>
      </w:pPr>
      <w:r>
        <w:rPr>
          <w:rStyle w:val="FootnoteReference"/>
          <w:rFonts w:asciiTheme="minorHAnsi" w:hAnsiTheme="minorHAnsi" w:cstheme="minorHAnsi"/>
          <w:color w:val="auto"/>
          <w:sz w:val="16"/>
          <w:szCs w:val="16"/>
        </w:rPr>
        <w:t>1</w:t>
      </w:r>
      <w:r>
        <w:rPr>
          <w:rFonts w:asciiTheme="minorHAnsi" w:hAnsiTheme="minorHAnsi" w:cstheme="minorHAnsi"/>
          <w:color w:val="auto"/>
          <w:sz w:val="16"/>
          <w:szCs w:val="16"/>
        </w:rPr>
        <w:t>4</w:t>
      </w:r>
      <w:r w:rsidRPr="0084182A">
        <w:rPr>
          <w:rFonts w:asciiTheme="minorHAnsi" w:hAnsiTheme="minorHAnsi" w:cstheme="minorHAnsi"/>
          <w:color w:val="auto"/>
          <w:sz w:val="16"/>
          <w:szCs w:val="16"/>
        </w:rPr>
        <w:t xml:space="preserve"> In Laing Buisson’s Care Cost Benchmarks model, the whole business benchmark return can be expressed in two equivalent ways: a) 11% at the home level when measured as EBITDARM (before charging corporate overheads) and b) 9.5% at the group level when measured as EBITDAR (after charging corporate Management overheads). This is a presentational change only. The two benchmarks are different ways of expressing the same thing. The 9.5% group level return</w:t>
      </w:r>
      <w:r w:rsidRPr="0084182A">
        <w:rPr>
          <w:color w:val="auto"/>
          <w:sz w:val="16"/>
          <w:szCs w:val="16"/>
        </w:rPr>
        <w:t xml:space="preserve"> </w:t>
      </w:r>
      <w:r w:rsidRPr="0084182A">
        <w:rPr>
          <w:rFonts w:asciiTheme="minorHAnsi" w:hAnsiTheme="minorHAnsi" w:cstheme="minorHAnsi"/>
          <w:color w:val="auto"/>
          <w:sz w:val="16"/>
          <w:szCs w:val="16"/>
        </w:rPr>
        <w:t>implies typical acquisition multiples for an average freehold care home portfolio of a little over 10 times group EBITDAR, which is borne out by transaction evidence.</w:t>
      </w:r>
    </w:p>
    <w:p w14:paraId="0E9DCD62" w14:textId="77777777" w:rsidR="00FA2DDA" w:rsidRPr="0084182A" w:rsidRDefault="00FA2DDA" w:rsidP="00995855">
      <w:pPr>
        <w:pStyle w:val="FootnoteText"/>
        <w:rPr>
          <w:sz w:val="16"/>
          <w:szCs w:val="16"/>
        </w:rPr>
      </w:pPr>
    </w:p>
  </w:footnote>
  <w:footnote w:id="12">
    <w:p w14:paraId="56DCD8DB" w14:textId="217498BF" w:rsidR="00FA2DDA" w:rsidRPr="0084182A" w:rsidRDefault="00FA2DDA" w:rsidP="00995855">
      <w:pPr>
        <w:spacing w:after="0"/>
        <w:rPr>
          <w:color w:val="auto"/>
          <w:sz w:val="16"/>
          <w:szCs w:val="16"/>
        </w:rPr>
      </w:pPr>
      <w:r>
        <w:rPr>
          <w:rStyle w:val="FootnoteReference"/>
          <w:color w:val="auto"/>
          <w:sz w:val="16"/>
          <w:szCs w:val="16"/>
        </w:rPr>
        <w:t>1</w:t>
      </w:r>
      <w:r>
        <w:rPr>
          <w:color w:val="auto"/>
          <w:sz w:val="16"/>
          <w:szCs w:val="16"/>
        </w:rPr>
        <w:t>5</w:t>
      </w:r>
      <w:r w:rsidRPr="0084182A">
        <w:rPr>
          <w:color w:val="auto"/>
          <w:sz w:val="16"/>
          <w:szCs w:val="16"/>
        </w:rPr>
        <w:t xml:space="preserve"> Annex E: further detail on return on capital and return on operations - GOV.UK (www.gov.uk)</w:t>
      </w:r>
    </w:p>
  </w:footnote>
  <w:footnote w:id="13">
    <w:p w14:paraId="7178227F" w14:textId="5F0CF657" w:rsidR="00FA2DDA" w:rsidRPr="008E1766" w:rsidRDefault="00FA2DDA" w:rsidP="00995855">
      <w:pPr>
        <w:spacing w:after="0"/>
        <w:rPr>
          <w:color w:val="auto"/>
          <w:sz w:val="16"/>
          <w:szCs w:val="16"/>
        </w:rPr>
      </w:pPr>
      <w:r>
        <w:rPr>
          <w:rStyle w:val="FootnoteReference"/>
          <w:color w:val="auto"/>
          <w:sz w:val="16"/>
          <w:szCs w:val="16"/>
        </w:rPr>
        <w:t>1</w:t>
      </w:r>
      <w:r>
        <w:rPr>
          <w:color w:val="auto"/>
          <w:sz w:val="16"/>
          <w:szCs w:val="16"/>
        </w:rPr>
        <w:t xml:space="preserve">6 </w:t>
      </w:r>
      <w:hyperlink r:id="rId6" w:history="1">
        <w:r w:rsidRPr="0084182A">
          <w:rPr>
            <w:rStyle w:val="Hyperlink"/>
            <w:color w:val="auto"/>
            <w:sz w:val="16"/>
            <w:szCs w:val="16"/>
          </w:rPr>
          <w:t>https://www.gov.uk/government/publications/care-homes-market-study-summary-of-final-report</w:t>
        </w:r>
      </w:hyperlink>
    </w:p>
  </w:footnote>
  <w:footnote w:id="14">
    <w:p w14:paraId="5B17AF6C" w14:textId="0EA0D5DC" w:rsidR="00FA2DDA" w:rsidRPr="0084182A" w:rsidRDefault="00FA2DDA" w:rsidP="00995855">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t>1</w:t>
      </w:r>
      <w:r>
        <w:rPr>
          <w:rFonts w:asciiTheme="minorHAnsi" w:hAnsiTheme="minorHAnsi" w:cstheme="minorHAnsi"/>
          <w:sz w:val="16"/>
          <w:szCs w:val="16"/>
        </w:rPr>
        <w:t>6</w:t>
      </w:r>
      <w:r w:rsidRPr="0084182A">
        <w:rPr>
          <w:rFonts w:asciiTheme="minorHAnsi" w:hAnsiTheme="minorHAnsi" w:cstheme="minorHAnsi"/>
          <w:sz w:val="16"/>
          <w:szCs w:val="16"/>
        </w:rPr>
        <w:t xml:space="preserve"> There are now two London Stock Exchange quoted property investment companies, Target Healthcare REIT, and Impact Healthcare REIT, specialising in financing new care home developments under arrangements in which the property investor owns the freehold and, ‘as landlord’, leases the asset to a care home operator ‘tenant’ at an escalating rent for a typical period of 25 years. There are also several European and other overseas-based property investors which are active in the UK market,</w:t>
      </w:r>
    </w:p>
  </w:footnote>
  <w:footnote w:id="15">
    <w:p w14:paraId="36B199E7" w14:textId="6AA8A4D6" w:rsidR="00FA2DDA" w:rsidRPr="00994CDA" w:rsidRDefault="00FA2DDA" w:rsidP="00995855">
      <w:pPr>
        <w:pStyle w:val="FootnoteText"/>
        <w:rPr>
          <w:rFonts w:asciiTheme="minorHAnsi" w:hAnsiTheme="minorHAnsi" w:cstheme="minorHAnsi"/>
          <w:sz w:val="18"/>
          <w:szCs w:val="18"/>
        </w:rPr>
      </w:pPr>
      <w:r>
        <w:rPr>
          <w:rStyle w:val="FootnoteReference"/>
          <w:rFonts w:asciiTheme="minorHAnsi" w:hAnsiTheme="minorHAnsi" w:cstheme="minorHAnsi"/>
          <w:sz w:val="16"/>
          <w:szCs w:val="16"/>
        </w:rPr>
        <w:t>1</w:t>
      </w:r>
      <w:r>
        <w:rPr>
          <w:rFonts w:asciiTheme="minorHAnsi" w:hAnsiTheme="minorHAnsi" w:cstheme="minorHAnsi"/>
          <w:sz w:val="16"/>
          <w:szCs w:val="16"/>
        </w:rPr>
        <w:t>7</w:t>
      </w:r>
      <w:r w:rsidRPr="0084182A">
        <w:rPr>
          <w:rFonts w:asciiTheme="minorHAnsi" w:hAnsiTheme="minorHAnsi" w:cstheme="minorHAnsi"/>
          <w:sz w:val="16"/>
          <w:szCs w:val="16"/>
        </w:rPr>
        <w:t xml:space="preserve"> The DHSC guidance (Box One) notes Knight Frank’s</w:t>
      </w:r>
      <w:r w:rsidRPr="0084182A">
        <w:rPr>
          <w:rFonts w:cs="Arial"/>
          <w:sz w:val="16"/>
          <w:szCs w:val="16"/>
        </w:rPr>
        <w:t xml:space="preserve"> </w:t>
      </w:r>
      <w:r w:rsidRPr="0084182A">
        <w:rPr>
          <w:rFonts w:asciiTheme="minorHAnsi" w:hAnsiTheme="minorHAnsi" w:cstheme="minorHAnsi"/>
          <w:sz w:val="16"/>
          <w:szCs w:val="16"/>
        </w:rPr>
        <w:t>citation of a 5.5% yield for core care home stock (or 4% for prime stock and 3.5% for super prime stock). These rates, however, are only available for care home operators with a good</w:t>
      </w:r>
      <w:r w:rsidRPr="008E1766">
        <w:rPr>
          <w:rFonts w:asciiTheme="minorHAnsi" w:hAnsiTheme="minorHAnsi" w:cstheme="minorHAnsi"/>
          <w:sz w:val="18"/>
          <w:szCs w:val="18"/>
        </w:rPr>
        <w:t xml:space="preserve"> covenant in the form of a strong balance sheet. </w:t>
      </w:r>
      <w:r w:rsidRPr="00DC645F">
        <w:rPr>
          <w:rFonts w:asciiTheme="minorHAnsi" w:hAnsiTheme="minorHAnsi" w:cstheme="minorHAnsi"/>
          <w:sz w:val="16"/>
          <w:szCs w:val="16"/>
        </w:rPr>
        <w:t>Most care home operators are viewed as having a moderate covenant only and would expect to pay a higher yield for 100% finance.</w:t>
      </w:r>
    </w:p>
  </w:footnote>
  <w:footnote w:id="16">
    <w:p w14:paraId="78F7C0FC" w14:textId="77777777" w:rsidR="00FA2DDA" w:rsidRDefault="00FA2DDA" w:rsidP="00206DB2">
      <w:pPr>
        <w:pStyle w:val="FootnoteText"/>
      </w:pPr>
      <w:r>
        <w:rPr>
          <w:rStyle w:val="FootnoteReference"/>
        </w:rPr>
        <w:footnoteRef/>
      </w:r>
      <w:r>
        <w:t xml:space="preserve"> </w:t>
      </w:r>
      <w:r w:rsidRPr="008A24EE">
        <w:rPr>
          <w:rFonts w:cs="Arial"/>
          <w:sz w:val="16"/>
          <w:szCs w:val="16"/>
        </w:rPr>
        <w:t xml:space="preserve">Market Sustainability and Fair Cost of Care Fund 2022 to 2023: guidance, updated 25 August 2022: </w:t>
      </w:r>
      <w:hyperlink r:id="rId7" w:history="1">
        <w:r w:rsidRPr="008A24EE">
          <w:rPr>
            <w:rStyle w:val="Hyperlink"/>
            <w:rFonts w:cs="Arial"/>
            <w:sz w:val="16"/>
            <w:szCs w:val="16"/>
          </w:rPr>
          <w:t>https://www.gov.uk/government/publications/market-sustainability-and-fair-cost-of-care-fund-2022-to-2023-guidance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DDB9" w14:textId="0201CFF7" w:rsidR="00FA2DDA" w:rsidRDefault="00FA2DDA" w:rsidP="00EF4EEF">
    <w:pPr>
      <w:pStyle w:val="Header"/>
      <w:jc w:val="right"/>
    </w:pPr>
    <w:r>
      <w:rPr>
        <w:noProof/>
      </w:rPr>
      <w:drawing>
        <wp:inline distT="0" distB="0" distL="0" distR="0" wp14:anchorId="2A27AE1B" wp14:editId="11DC1AA3">
          <wp:extent cx="2262662" cy="592418"/>
          <wp:effectExtent l="0" t="0" r="4445" b="0"/>
          <wp:docPr id="10" name="Picture 6" descr="Oxfordshire County Council">
            <a:extLst xmlns:a="http://schemas.openxmlformats.org/drawingml/2006/main">
              <a:ext uri="{FF2B5EF4-FFF2-40B4-BE49-F238E27FC236}">
                <a16:creationId xmlns:a16="http://schemas.microsoft.com/office/drawing/2014/main" id="{31013BF9-BF4C-4627-B8EB-B28BB8704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Oxfordshire County Council">
                    <a:extLst>
                      <a:ext uri="{FF2B5EF4-FFF2-40B4-BE49-F238E27FC236}">
                        <a16:creationId xmlns:a16="http://schemas.microsoft.com/office/drawing/2014/main" id="{31013BF9-BF4C-4627-B8EB-B28BB8704752}"/>
                      </a:ext>
                    </a:extLst>
                  </pic:cNvPr>
                  <pic:cNvPicPr>
                    <a:picLocks noChangeAspect="1"/>
                  </pic:cNvPicPr>
                </pic:nvPicPr>
                <pic:blipFill>
                  <a:blip r:embed="rId1"/>
                  <a:stretch>
                    <a:fillRect/>
                  </a:stretch>
                </pic:blipFill>
                <pic:spPr>
                  <a:xfrm>
                    <a:off x="0" y="0"/>
                    <a:ext cx="2292797" cy="600308"/>
                  </a:xfrm>
                  <a:prstGeom prst="rect">
                    <a:avLst/>
                  </a:prstGeom>
                </pic:spPr>
              </pic:pic>
            </a:graphicData>
          </a:graphic>
        </wp:inline>
      </w:drawing>
    </w:r>
  </w:p>
  <w:p w14:paraId="7B9FC67E" w14:textId="77777777" w:rsidR="00FA2DDA" w:rsidRDefault="00FA2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ADD"/>
    <w:multiLevelType w:val="hybridMultilevel"/>
    <w:tmpl w:val="CFEAFA26"/>
    <w:lvl w:ilvl="0" w:tplc="C80290C2">
      <w:start w:val="1"/>
      <w:numFmt w:val="bullet"/>
      <w:lvlText w:val=""/>
      <w:lvlJc w:val="left"/>
      <w:pPr>
        <w:ind w:left="1080" w:hanging="360"/>
      </w:pPr>
      <w:rPr>
        <w:rFonts w:ascii="Symbol" w:hAnsi="Symbol"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AD62FD"/>
    <w:multiLevelType w:val="hybridMultilevel"/>
    <w:tmpl w:val="ED7A04D2"/>
    <w:lvl w:ilvl="0" w:tplc="7E5AD2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60A56"/>
    <w:multiLevelType w:val="hybridMultilevel"/>
    <w:tmpl w:val="7F8A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431C9"/>
    <w:multiLevelType w:val="hybridMultilevel"/>
    <w:tmpl w:val="69CE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33089"/>
    <w:multiLevelType w:val="multilevel"/>
    <w:tmpl w:val="6340F76A"/>
    <w:lvl w:ilvl="0">
      <w:start w:val="1"/>
      <w:numFmt w:val="decimal"/>
      <w:lvlText w:val="%1"/>
      <w:lvlJc w:val="left"/>
      <w:pPr>
        <w:ind w:left="369" w:hanging="369"/>
      </w:pPr>
      <w:rPr>
        <w:rFonts w:hint="default"/>
      </w:rPr>
    </w:lvl>
    <w:lvl w:ilvl="1">
      <w:start w:val="1"/>
      <w:numFmt w:val="decimal"/>
      <w:lvlText w:val="%1.%2"/>
      <w:lvlJc w:val="left"/>
      <w:pPr>
        <w:ind w:left="369" w:hanging="36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0E22F2"/>
    <w:multiLevelType w:val="hybridMultilevel"/>
    <w:tmpl w:val="CDE0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E23CC"/>
    <w:multiLevelType w:val="hybridMultilevel"/>
    <w:tmpl w:val="C5BE89D2"/>
    <w:lvl w:ilvl="0" w:tplc="D998261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A24BB2"/>
    <w:multiLevelType w:val="hybridMultilevel"/>
    <w:tmpl w:val="60AE5824"/>
    <w:lvl w:ilvl="0" w:tplc="70E2055E">
      <w:start w:val="1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0205A"/>
    <w:multiLevelType w:val="hybridMultilevel"/>
    <w:tmpl w:val="512C7578"/>
    <w:lvl w:ilvl="0" w:tplc="8F0C595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21CDA"/>
    <w:multiLevelType w:val="hybridMultilevel"/>
    <w:tmpl w:val="34AE44E6"/>
    <w:lvl w:ilvl="0" w:tplc="70E2055E">
      <w:start w:val="1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27F71"/>
    <w:multiLevelType w:val="hybridMultilevel"/>
    <w:tmpl w:val="AF1428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E16C2"/>
    <w:multiLevelType w:val="multilevel"/>
    <w:tmpl w:val="9F6A1B5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FB2A09"/>
    <w:multiLevelType w:val="hybridMultilevel"/>
    <w:tmpl w:val="329C0D1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383ADD"/>
    <w:multiLevelType w:val="hybridMultilevel"/>
    <w:tmpl w:val="77848816"/>
    <w:lvl w:ilvl="0" w:tplc="5720FBF6">
      <w:start w:val="1"/>
      <w:numFmt w:val="bullet"/>
      <w:lvlText w:val=""/>
      <w:lvlJc w:val="left"/>
      <w:pPr>
        <w:ind w:left="2226" w:hanging="360"/>
      </w:pPr>
      <w:rPr>
        <w:rFonts w:ascii="Symbol" w:hAnsi="Symbol" w:hint="default"/>
        <w:color w:val="00B050"/>
      </w:rPr>
    </w:lvl>
    <w:lvl w:ilvl="1" w:tplc="08090003" w:tentative="1">
      <w:start w:val="1"/>
      <w:numFmt w:val="bullet"/>
      <w:lvlText w:val="o"/>
      <w:lvlJc w:val="left"/>
      <w:pPr>
        <w:ind w:left="2946" w:hanging="360"/>
      </w:pPr>
      <w:rPr>
        <w:rFonts w:ascii="Courier New" w:hAnsi="Courier New" w:cs="Courier New" w:hint="default"/>
      </w:rPr>
    </w:lvl>
    <w:lvl w:ilvl="2" w:tplc="08090005" w:tentative="1">
      <w:start w:val="1"/>
      <w:numFmt w:val="bullet"/>
      <w:lvlText w:val=""/>
      <w:lvlJc w:val="left"/>
      <w:pPr>
        <w:ind w:left="3666" w:hanging="360"/>
      </w:pPr>
      <w:rPr>
        <w:rFonts w:ascii="Wingdings" w:hAnsi="Wingdings" w:hint="default"/>
      </w:rPr>
    </w:lvl>
    <w:lvl w:ilvl="3" w:tplc="08090001" w:tentative="1">
      <w:start w:val="1"/>
      <w:numFmt w:val="bullet"/>
      <w:lvlText w:val=""/>
      <w:lvlJc w:val="left"/>
      <w:pPr>
        <w:ind w:left="4386" w:hanging="360"/>
      </w:pPr>
      <w:rPr>
        <w:rFonts w:ascii="Symbol" w:hAnsi="Symbol" w:hint="default"/>
      </w:rPr>
    </w:lvl>
    <w:lvl w:ilvl="4" w:tplc="08090003" w:tentative="1">
      <w:start w:val="1"/>
      <w:numFmt w:val="bullet"/>
      <w:lvlText w:val="o"/>
      <w:lvlJc w:val="left"/>
      <w:pPr>
        <w:ind w:left="5106" w:hanging="360"/>
      </w:pPr>
      <w:rPr>
        <w:rFonts w:ascii="Courier New" w:hAnsi="Courier New" w:cs="Courier New" w:hint="default"/>
      </w:rPr>
    </w:lvl>
    <w:lvl w:ilvl="5" w:tplc="08090005" w:tentative="1">
      <w:start w:val="1"/>
      <w:numFmt w:val="bullet"/>
      <w:lvlText w:val=""/>
      <w:lvlJc w:val="left"/>
      <w:pPr>
        <w:ind w:left="5826" w:hanging="360"/>
      </w:pPr>
      <w:rPr>
        <w:rFonts w:ascii="Wingdings" w:hAnsi="Wingdings" w:hint="default"/>
      </w:rPr>
    </w:lvl>
    <w:lvl w:ilvl="6" w:tplc="08090001" w:tentative="1">
      <w:start w:val="1"/>
      <w:numFmt w:val="bullet"/>
      <w:lvlText w:val=""/>
      <w:lvlJc w:val="left"/>
      <w:pPr>
        <w:ind w:left="6546" w:hanging="360"/>
      </w:pPr>
      <w:rPr>
        <w:rFonts w:ascii="Symbol" w:hAnsi="Symbol" w:hint="default"/>
      </w:rPr>
    </w:lvl>
    <w:lvl w:ilvl="7" w:tplc="08090003" w:tentative="1">
      <w:start w:val="1"/>
      <w:numFmt w:val="bullet"/>
      <w:lvlText w:val="o"/>
      <w:lvlJc w:val="left"/>
      <w:pPr>
        <w:ind w:left="7266" w:hanging="360"/>
      </w:pPr>
      <w:rPr>
        <w:rFonts w:ascii="Courier New" w:hAnsi="Courier New" w:cs="Courier New" w:hint="default"/>
      </w:rPr>
    </w:lvl>
    <w:lvl w:ilvl="8" w:tplc="08090005" w:tentative="1">
      <w:start w:val="1"/>
      <w:numFmt w:val="bullet"/>
      <w:lvlText w:val=""/>
      <w:lvlJc w:val="left"/>
      <w:pPr>
        <w:ind w:left="7986" w:hanging="360"/>
      </w:pPr>
      <w:rPr>
        <w:rFonts w:ascii="Wingdings" w:hAnsi="Wingdings" w:hint="default"/>
      </w:rPr>
    </w:lvl>
  </w:abstractNum>
  <w:abstractNum w:abstractNumId="14" w15:restartNumberingAfterBreak="0">
    <w:nsid w:val="2D8344ED"/>
    <w:multiLevelType w:val="hybridMultilevel"/>
    <w:tmpl w:val="4A9244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3A307F"/>
    <w:multiLevelType w:val="multilevel"/>
    <w:tmpl w:val="53C8B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0D3DB9"/>
    <w:multiLevelType w:val="hybridMultilevel"/>
    <w:tmpl w:val="601ED48C"/>
    <w:lvl w:ilvl="0" w:tplc="F7DEAF3E">
      <w:start w:val="1"/>
      <w:numFmt w:val="bullet"/>
      <w:lvlText w:val=""/>
      <w:lvlJc w:val="left"/>
      <w:pPr>
        <w:ind w:left="785"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C5013"/>
    <w:multiLevelType w:val="hybridMultilevel"/>
    <w:tmpl w:val="65B412BE"/>
    <w:lvl w:ilvl="0" w:tplc="8034F372">
      <w:start w:val="1"/>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44FD9"/>
    <w:multiLevelType w:val="multilevel"/>
    <w:tmpl w:val="EAFEB076"/>
    <w:lvl w:ilvl="0">
      <w:start w:val="1"/>
      <w:numFmt w:val="decimal"/>
      <w:lvlText w:val="%1."/>
      <w:lvlJc w:val="left"/>
      <w:pPr>
        <w:ind w:left="720" w:hanging="360"/>
      </w:pPr>
      <w:rPr>
        <w:b w:val="0"/>
        <w:bCs w:val="0"/>
      </w:rPr>
    </w:lvl>
    <w:lvl w:ilvl="1">
      <w:start w:val="7"/>
      <w:numFmt w:val="decimal"/>
      <w:isLgl/>
      <w:lvlText w:val="%1.%2"/>
      <w:lvlJc w:val="left"/>
      <w:pPr>
        <w:ind w:left="909" w:hanging="54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BC62EC"/>
    <w:multiLevelType w:val="multilevel"/>
    <w:tmpl w:val="C0F87BC4"/>
    <w:lvl w:ilvl="0">
      <w:start w:val="2"/>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A71066C"/>
    <w:multiLevelType w:val="multilevel"/>
    <w:tmpl w:val="6340F76A"/>
    <w:lvl w:ilvl="0">
      <w:start w:val="1"/>
      <w:numFmt w:val="decimal"/>
      <w:lvlText w:val="%1"/>
      <w:lvlJc w:val="left"/>
      <w:pPr>
        <w:ind w:left="369" w:hanging="369"/>
      </w:pPr>
      <w:rPr>
        <w:rFonts w:hint="default"/>
      </w:rPr>
    </w:lvl>
    <w:lvl w:ilvl="1">
      <w:start w:val="1"/>
      <w:numFmt w:val="decimal"/>
      <w:lvlText w:val="%1.%2"/>
      <w:lvlJc w:val="left"/>
      <w:pPr>
        <w:ind w:left="369" w:hanging="36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4B2FEB"/>
    <w:multiLevelType w:val="hybridMultilevel"/>
    <w:tmpl w:val="19901712"/>
    <w:lvl w:ilvl="0" w:tplc="8034F372">
      <w:start w:val="1"/>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A5141"/>
    <w:multiLevelType w:val="hybridMultilevel"/>
    <w:tmpl w:val="9EF6EE24"/>
    <w:lvl w:ilvl="0" w:tplc="58B2F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904CCE"/>
    <w:multiLevelType w:val="hybridMultilevel"/>
    <w:tmpl w:val="91947120"/>
    <w:lvl w:ilvl="0" w:tplc="C80290C2">
      <w:start w:val="1"/>
      <w:numFmt w:val="bullet"/>
      <w:lvlText w:val=""/>
      <w:lvlJc w:val="left"/>
      <w:pPr>
        <w:ind w:left="785"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A0573"/>
    <w:multiLevelType w:val="hybridMultilevel"/>
    <w:tmpl w:val="E30E1FE8"/>
    <w:lvl w:ilvl="0" w:tplc="8034F372">
      <w:start w:val="1"/>
      <w:numFmt w:val="bullet"/>
      <w:lvlText w:val="-"/>
      <w:lvlJc w:val="left"/>
      <w:pPr>
        <w:ind w:left="720" w:hanging="360"/>
      </w:pPr>
      <w:rPr>
        <w:rFonts w:ascii="Franklin Gothic Book" w:eastAsiaTheme="minorHAnsi" w:hAnsi="Franklin Gothic Book" w:cstheme="minorBidi" w:hint="default"/>
      </w:rPr>
    </w:lvl>
    <w:lvl w:ilvl="1" w:tplc="E82C613A">
      <w:start w:val="1"/>
      <w:numFmt w:val="bullet"/>
      <w:lvlText w:val="o"/>
      <w:lvlJc w:val="left"/>
      <w:pPr>
        <w:ind w:left="1440" w:hanging="360"/>
      </w:pPr>
      <w:rPr>
        <w:rFonts w:ascii="Courier New" w:hAnsi="Courier New" w:cs="Courier New" w:hint="default"/>
      </w:rPr>
    </w:lvl>
    <w:lvl w:ilvl="2" w:tplc="8C82F830" w:tentative="1">
      <w:start w:val="1"/>
      <w:numFmt w:val="bullet"/>
      <w:lvlText w:val=""/>
      <w:lvlJc w:val="left"/>
      <w:pPr>
        <w:ind w:left="2160" w:hanging="360"/>
      </w:pPr>
      <w:rPr>
        <w:rFonts w:ascii="Wingdings" w:hAnsi="Wingdings" w:hint="default"/>
      </w:rPr>
    </w:lvl>
    <w:lvl w:ilvl="3" w:tplc="08FAA6BA" w:tentative="1">
      <w:start w:val="1"/>
      <w:numFmt w:val="bullet"/>
      <w:lvlText w:val=""/>
      <w:lvlJc w:val="left"/>
      <w:pPr>
        <w:ind w:left="2880" w:hanging="360"/>
      </w:pPr>
      <w:rPr>
        <w:rFonts w:ascii="Symbol" w:hAnsi="Symbol" w:hint="default"/>
      </w:rPr>
    </w:lvl>
    <w:lvl w:ilvl="4" w:tplc="D6F8690E" w:tentative="1">
      <w:start w:val="1"/>
      <w:numFmt w:val="bullet"/>
      <w:lvlText w:val="o"/>
      <w:lvlJc w:val="left"/>
      <w:pPr>
        <w:ind w:left="3600" w:hanging="360"/>
      </w:pPr>
      <w:rPr>
        <w:rFonts w:ascii="Courier New" w:hAnsi="Courier New" w:cs="Courier New" w:hint="default"/>
      </w:rPr>
    </w:lvl>
    <w:lvl w:ilvl="5" w:tplc="B2B423E2" w:tentative="1">
      <w:start w:val="1"/>
      <w:numFmt w:val="bullet"/>
      <w:lvlText w:val=""/>
      <w:lvlJc w:val="left"/>
      <w:pPr>
        <w:ind w:left="4320" w:hanging="360"/>
      </w:pPr>
      <w:rPr>
        <w:rFonts w:ascii="Wingdings" w:hAnsi="Wingdings" w:hint="default"/>
      </w:rPr>
    </w:lvl>
    <w:lvl w:ilvl="6" w:tplc="E048D9F0" w:tentative="1">
      <w:start w:val="1"/>
      <w:numFmt w:val="bullet"/>
      <w:lvlText w:val=""/>
      <w:lvlJc w:val="left"/>
      <w:pPr>
        <w:ind w:left="5040" w:hanging="360"/>
      </w:pPr>
      <w:rPr>
        <w:rFonts w:ascii="Symbol" w:hAnsi="Symbol" w:hint="default"/>
      </w:rPr>
    </w:lvl>
    <w:lvl w:ilvl="7" w:tplc="801E5DB8" w:tentative="1">
      <w:start w:val="1"/>
      <w:numFmt w:val="bullet"/>
      <w:lvlText w:val="o"/>
      <w:lvlJc w:val="left"/>
      <w:pPr>
        <w:ind w:left="5760" w:hanging="360"/>
      </w:pPr>
      <w:rPr>
        <w:rFonts w:ascii="Courier New" w:hAnsi="Courier New" w:cs="Courier New" w:hint="default"/>
      </w:rPr>
    </w:lvl>
    <w:lvl w:ilvl="8" w:tplc="D0967F32" w:tentative="1">
      <w:start w:val="1"/>
      <w:numFmt w:val="bullet"/>
      <w:lvlText w:val=""/>
      <w:lvlJc w:val="left"/>
      <w:pPr>
        <w:ind w:left="6480" w:hanging="360"/>
      </w:pPr>
      <w:rPr>
        <w:rFonts w:ascii="Wingdings" w:hAnsi="Wingdings" w:hint="default"/>
      </w:rPr>
    </w:lvl>
  </w:abstractNum>
  <w:abstractNum w:abstractNumId="25" w15:restartNumberingAfterBreak="0">
    <w:nsid w:val="64543467"/>
    <w:multiLevelType w:val="hybridMultilevel"/>
    <w:tmpl w:val="1ABA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A27822"/>
    <w:multiLevelType w:val="hybridMultilevel"/>
    <w:tmpl w:val="97482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DF2961"/>
    <w:multiLevelType w:val="hybridMultilevel"/>
    <w:tmpl w:val="F2E85FD2"/>
    <w:lvl w:ilvl="0" w:tplc="70E2055E">
      <w:start w:val="1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E9062A"/>
    <w:multiLevelType w:val="hybridMultilevel"/>
    <w:tmpl w:val="514096A6"/>
    <w:lvl w:ilvl="0" w:tplc="70E2055E">
      <w:start w:val="1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275A6"/>
    <w:multiLevelType w:val="hybridMultilevel"/>
    <w:tmpl w:val="89389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309C6"/>
    <w:multiLevelType w:val="hybridMultilevel"/>
    <w:tmpl w:val="4DD4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480B9B"/>
    <w:multiLevelType w:val="hybridMultilevel"/>
    <w:tmpl w:val="329C0D1C"/>
    <w:lvl w:ilvl="0" w:tplc="F44CD3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2F56E5"/>
    <w:multiLevelType w:val="hybridMultilevel"/>
    <w:tmpl w:val="8C6A43AE"/>
    <w:lvl w:ilvl="0" w:tplc="70E2055E">
      <w:start w:val="1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E52B6"/>
    <w:multiLevelType w:val="hybridMultilevel"/>
    <w:tmpl w:val="B1C4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19"/>
  </w:num>
  <w:num w:numId="4">
    <w:abstractNumId w:val="31"/>
  </w:num>
  <w:num w:numId="5">
    <w:abstractNumId w:val="12"/>
  </w:num>
  <w:num w:numId="6">
    <w:abstractNumId w:val="22"/>
  </w:num>
  <w:num w:numId="7">
    <w:abstractNumId w:val="1"/>
  </w:num>
  <w:num w:numId="8">
    <w:abstractNumId w:val="16"/>
  </w:num>
  <w:num w:numId="9">
    <w:abstractNumId w:val="23"/>
  </w:num>
  <w:num w:numId="10">
    <w:abstractNumId w:val="4"/>
  </w:num>
  <w:num w:numId="11">
    <w:abstractNumId w:val="33"/>
  </w:num>
  <w:num w:numId="12">
    <w:abstractNumId w:val="3"/>
  </w:num>
  <w:num w:numId="13">
    <w:abstractNumId w:val="5"/>
  </w:num>
  <w:num w:numId="14">
    <w:abstractNumId w:val="8"/>
  </w:num>
  <w:num w:numId="15">
    <w:abstractNumId w:val="20"/>
  </w:num>
  <w:num w:numId="16">
    <w:abstractNumId w:val="18"/>
  </w:num>
  <w:num w:numId="17">
    <w:abstractNumId w:val="32"/>
  </w:num>
  <w:num w:numId="18">
    <w:abstractNumId w:val="27"/>
  </w:num>
  <w:num w:numId="19">
    <w:abstractNumId w:val="30"/>
  </w:num>
  <w:num w:numId="20">
    <w:abstractNumId w:val="10"/>
  </w:num>
  <w:num w:numId="21">
    <w:abstractNumId w:val="13"/>
  </w:num>
  <w:num w:numId="22">
    <w:abstractNumId w:val="0"/>
  </w:num>
  <w:num w:numId="23">
    <w:abstractNumId w:val="9"/>
  </w:num>
  <w:num w:numId="24">
    <w:abstractNumId w:val="28"/>
  </w:num>
  <w:num w:numId="25">
    <w:abstractNumId w:val="6"/>
  </w:num>
  <w:num w:numId="26">
    <w:abstractNumId w:val="7"/>
  </w:num>
  <w:num w:numId="27">
    <w:abstractNumId w:val="25"/>
  </w:num>
  <w:num w:numId="28">
    <w:abstractNumId w:val="2"/>
  </w:num>
  <w:num w:numId="29">
    <w:abstractNumId w:val="14"/>
  </w:num>
  <w:num w:numId="30">
    <w:abstractNumId w:val="11"/>
  </w:num>
  <w:num w:numId="31">
    <w:abstractNumId w:val="26"/>
  </w:num>
  <w:num w:numId="32">
    <w:abstractNumId w:val="29"/>
  </w:num>
  <w:num w:numId="33">
    <w:abstractNumId w:val="17"/>
  </w:num>
  <w:num w:numId="3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55"/>
    <w:rsid w:val="00001C29"/>
    <w:rsid w:val="00010DB4"/>
    <w:rsid w:val="00020526"/>
    <w:rsid w:val="00020C5C"/>
    <w:rsid w:val="0002146F"/>
    <w:rsid w:val="00040919"/>
    <w:rsid w:val="0005231D"/>
    <w:rsid w:val="000A5923"/>
    <w:rsid w:val="000B2B1F"/>
    <w:rsid w:val="000B4310"/>
    <w:rsid w:val="000C7CA0"/>
    <w:rsid w:val="000D0DD1"/>
    <w:rsid w:val="000E13DE"/>
    <w:rsid w:val="0013072B"/>
    <w:rsid w:val="00142784"/>
    <w:rsid w:val="001462F5"/>
    <w:rsid w:val="00150A1F"/>
    <w:rsid w:val="00165415"/>
    <w:rsid w:val="001D2EEA"/>
    <w:rsid w:val="001D45DB"/>
    <w:rsid w:val="001F3CCF"/>
    <w:rsid w:val="00206DB2"/>
    <w:rsid w:val="00226E1A"/>
    <w:rsid w:val="0026246D"/>
    <w:rsid w:val="0026290C"/>
    <w:rsid w:val="002667C3"/>
    <w:rsid w:val="00287D1C"/>
    <w:rsid w:val="0029380F"/>
    <w:rsid w:val="002A08A5"/>
    <w:rsid w:val="002A764E"/>
    <w:rsid w:val="002B4734"/>
    <w:rsid w:val="002B4B43"/>
    <w:rsid w:val="002D6E7B"/>
    <w:rsid w:val="0033092D"/>
    <w:rsid w:val="0037052F"/>
    <w:rsid w:val="00377B07"/>
    <w:rsid w:val="00384202"/>
    <w:rsid w:val="0039514A"/>
    <w:rsid w:val="003A0952"/>
    <w:rsid w:val="003A7F0A"/>
    <w:rsid w:val="003B127C"/>
    <w:rsid w:val="003B4981"/>
    <w:rsid w:val="003C08B5"/>
    <w:rsid w:val="003C554B"/>
    <w:rsid w:val="004000D7"/>
    <w:rsid w:val="00402224"/>
    <w:rsid w:val="004163A7"/>
    <w:rsid w:val="00491F79"/>
    <w:rsid w:val="0049608B"/>
    <w:rsid w:val="004A6384"/>
    <w:rsid w:val="004A6BE9"/>
    <w:rsid w:val="004B5536"/>
    <w:rsid w:val="004D5806"/>
    <w:rsid w:val="005031A9"/>
    <w:rsid w:val="00504E43"/>
    <w:rsid w:val="00507585"/>
    <w:rsid w:val="00512A55"/>
    <w:rsid w:val="0052200A"/>
    <w:rsid w:val="005273D4"/>
    <w:rsid w:val="00543235"/>
    <w:rsid w:val="005A30E7"/>
    <w:rsid w:val="005C1D9F"/>
    <w:rsid w:val="005D259C"/>
    <w:rsid w:val="005E3885"/>
    <w:rsid w:val="00600766"/>
    <w:rsid w:val="00610FD0"/>
    <w:rsid w:val="00613F82"/>
    <w:rsid w:val="00615A51"/>
    <w:rsid w:val="00654B14"/>
    <w:rsid w:val="006558B3"/>
    <w:rsid w:val="00671326"/>
    <w:rsid w:val="006821F8"/>
    <w:rsid w:val="006C206C"/>
    <w:rsid w:val="006D0590"/>
    <w:rsid w:val="006D1D8D"/>
    <w:rsid w:val="006D4E3D"/>
    <w:rsid w:val="00710951"/>
    <w:rsid w:val="00711890"/>
    <w:rsid w:val="007206CF"/>
    <w:rsid w:val="00725C7C"/>
    <w:rsid w:val="007908F4"/>
    <w:rsid w:val="007D363B"/>
    <w:rsid w:val="007E48F2"/>
    <w:rsid w:val="007F719F"/>
    <w:rsid w:val="00802C9F"/>
    <w:rsid w:val="00811DB5"/>
    <w:rsid w:val="0084149B"/>
    <w:rsid w:val="0084182A"/>
    <w:rsid w:val="0084641D"/>
    <w:rsid w:val="008534E0"/>
    <w:rsid w:val="008E1C9F"/>
    <w:rsid w:val="008E21F0"/>
    <w:rsid w:val="00907557"/>
    <w:rsid w:val="00910C0E"/>
    <w:rsid w:val="0091122E"/>
    <w:rsid w:val="00913E1D"/>
    <w:rsid w:val="0091773E"/>
    <w:rsid w:val="00927527"/>
    <w:rsid w:val="00932C84"/>
    <w:rsid w:val="0096583B"/>
    <w:rsid w:val="009767C9"/>
    <w:rsid w:val="0098595F"/>
    <w:rsid w:val="00985D2D"/>
    <w:rsid w:val="009917FD"/>
    <w:rsid w:val="00995855"/>
    <w:rsid w:val="00997332"/>
    <w:rsid w:val="009A1A07"/>
    <w:rsid w:val="009B3861"/>
    <w:rsid w:val="009B71B2"/>
    <w:rsid w:val="009D08E4"/>
    <w:rsid w:val="009D3453"/>
    <w:rsid w:val="009D5E85"/>
    <w:rsid w:val="009D62D4"/>
    <w:rsid w:val="009F6943"/>
    <w:rsid w:val="00A0533C"/>
    <w:rsid w:val="00A10536"/>
    <w:rsid w:val="00A14B3B"/>
    <w:rsid w:val="00A50626"/>
    <w:rsid w:val="00A511ED"/>
    <w:rsid w:val="00A51BD2"/>
    <w:rsid w:val="00A70EBC"/>
    <w:rsid w:val="00A72ABE"/>
    <w:rsid w:val="00AB330D"/>
    <w:rsid w:val="00AB4B8F"/>
    <w:rsid w:val="00AC4BB3"/>
    <w:rsid w:val="00AE24C1"/>
    <w:rsid w:val="00AE4468"/>
    <w:rsid w:val="00AF7AF6"/>
    <w:rsid w:val="00B01753"/>
    <w:rsid w:val="00B11321"/>
    <w:rsid w:val="00B16F3F"/>
    <w:rsid w:val="00B226E9"/>
    <w:rsid w:val="00B22723"/>
    <w:rsid w:val="00B31F72"/>
    <w:rsid w:val="00B44001"/>
    <w:rsid w:val="00B75F2E"/>
    <w:rsid w:val="00B90BF0"/>
    <w:rsid w:val="00B92757"/>
    <w:rsid w:val="00B94D3E"/>
    <w:rsid w:val="00BC7523"/>
    <w:rsid w:val="00BD2FB5"/>
    <w:rsid w:val="00BE2ACF"/>
    <w:rsid w:val="00BF0C19"/>
    <w:rsid w:val="00C120A4"/>
    <w:rsid w:val="00C2080A"/>
    <w:rsid w:val="00C5346A"/>
    <w:rsid w:val="00C6140F"/>
    <w:rsid w:val="00CA2B64"/>
    <w:rsid w:val="00CB6031"/>
    <w:rsid w:val="00CC4645"/>
    <w:rsid w:val="00CF3692"/>
    <w:rsid w:val="00D17D29"/>
    <w:rsid w:val="00D235D4"/>
    <w:rsid w:val="00D35BBC"/>
    <w:rsid w:val="00D368B3"/>
    <w:rsid w:val="00D62D1C"/>
    <w:rsid w:val="00DB1346"/>
    <w:rsid w:val="00DC645F"/>
    <w:rsid w:val="00DC73CB"/>
    <w:rsid w:val="00DD0F05"/>
    <w:rsid w:val="00DF5EC3"/>
    <w:rsid w:val="00E13951"/>
    <w:rsid w:val="00E1639F"/>
    <w:rsid w:val="00E2728E"/>
    <w:rsid w:val="00E5567A"/>
    <w:rsid w:val="00E741B1"/>
    <w:rsid w:val="00E81137"/>
    <w:rsid w:val="00EC7E75"/>
    <w:rsid w:val="00EE2481"/>
    <w:rsid w:val="00EF3CA1"/>
    <w:rsid w:val="00EF4EEF"/>
    <w:rsid w:val="00F012E4"/>
    <w:rsid w:val="00F17899"/>
    <w:rsid w:val="00F52A75"/>
    <w:rsid w:val="00F52FBA"/>
    <w:rsid w:val="00F56E3D"/>
    <w:rsid w:val="00FA2DDA"/>
    <w:rsid w:val="00FC23BE"/>
    <w:rsid w:val="00FD0792"/>
    <w:rsid w:val="00FD3A85"/>
    <w:rsid w:val="00FD6C66"/>
    <w:rsid w:val="00FE1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0D83"/>
  <w15:chartTrackingRefBased/>
  <w15:docId w15:val="{D875FB87-55EF-4300-A6A9-330C58B6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55"/>
    <w:pPr>
      <w:spacing w:after="200" w:line="276" w:lineRule="auto"/>
    </w:pPr>
    <w:rPr>
      <w:rFonts w:ascii="Franklin Gothic Book" w:hAnsi="Franklin Gothic Book" w:cstheme="minorBidi"/>
      <w:color w:val="404040" w:themeColor="text1" w:themeTint="BF"/>
      <w:sz w:val="22"/>
      <w:szCs w:val="22"/>
    </w:rPr>
  </w:style>
  <w:style w:type="paragraph" w:styleId="Heading1">
    <w:name w:val="heading 1"/>
    <w:basedOn w:val="Normal"/>
    <w:next w:val="Normal"/>
    <w:link w:val="Heading1Char"/>
    <w:qFormat/>
    <w:rsid w:val="00995855"/>
    <w:pPr>
      <w:keepNext/>
      <w:tabs>
        <w:tab w:val="num" w:pos="0"/>
      </w:tabs>
      <w:suppressAutoHyphens/>
      <w:spacing w:after="0" w:line="240" w:lineRule="auto"/>
      <w:outlineLvl w:val="0"/>
    </w:pPr>
    <w:rPr>
      <w:rFonts w:eastAsia="Times New Roman" w:cs="Times New Roman"/>
      <w:color w:val="941F64"/>
      <w:sz w:val="32"/>
      <w:szCs w:val="20"/>
      <w:lang w:eastAsia="en-GB"/>
    </w:rPr>
  </w:style>
  <w:style w:type="paragraph" w:styleId="Heading2">
    <w:name w:val="heading 2"/>
    <w:basedOn w:val="Heading3"/>
    <w:next w:val="Normal"/>
    <w:link w:val="Heading2Char"/>
    <w:unhideWhenUsed/>
    <w:qFormat/>
    <w:rsid w:val="00995855"/>
    <w:pPr>
      <w:outlineLvl w:val="1"/>
    </w:pPr>
    <w:rPr>
      <w:sz w:val="28"/>
    </w:rPr>
  </w:style>
  <w:style w:type="paragraph" w:styleId="Heading3">
    <w:name w:val="heading 3"/>
    <w:basedOn w:val="BodyText3"/>
    <w:next w:val="Normal"/>
    <w:link w:val="Heading3Char"/>
    <w:unhideWhenUsed/>
    <w:qFormat/>
    <w:rsid w:val="00995855"/>
    <w:pPr>
      <w:tabs>
        <w:tab w:val="num" w:pos="0"/>
      </w:tabs>
      <w:spacing w:line="260" w:lineRule="exact"/>
      <w:ind w:right="-34"/>
      <w:outlineLvl w:val="2"/>
    </w:pPr>
    <w:rPr>
      <w:rFonts w:ascii="Franklin Gothic Book" w:hAnsi="Franklin Gothic Book"/>
      <w:color w:val="941F64"/>
      <w:sz w:val="24"/>
    </w:rPr>
  </w:style>
  <w:style w:type="paragraph" w:styleId="Heading4">
    <w:name w:val="heading 4"/>
    <w:basedOn w:val="Normal"/>
    <w:next w:val="Normal"/>
    <w:link w:val="Heading4Char"/>
    <w:unhideWhenUsed/>
    <w:qFormat/>
    <w:rsid w:val="00995855"/>
    <w:pPr>
      <w:tabs>
        <w:tab w:val="num" w:pos="0"/>
      </w:tabs>
      <w:suppressAutoHyphens/>
      <w:spacing w:after="0" w:line="260" w:lineRule="exact"/>
      <w:ind w:firstLine="720"/>
      <w:jc w:val="both"/>
      <w:outlineLvl w:val="3"/>
    </w:pPr>
    <w:rPr>
      <w:rFonts w:eastAsia="Times New Roman" w:cs="Times New Roman"/>
      <w:i/>
      <w:color w:val="941F64"/>
      <w:szCs w:val="20"/>
      <w:lang w:eastAsia="en-GB"/>
    </w:rPr>
  </w:style>
  <w:style w:type="paragraph" w:styleId="Heading5">
    <w:name w:val="heading 5"/>
    <w:basedOn w:val="Normal"/>
    <w:next w:val="Normal"/>
    <w:link w:val="Heading5Char"/>
    <w:semiHidden/>
    <w:unhideWhenUsed/>
    <w:qFormat/>
    <w:rsid w:val="00995855"/>
    <w:pPr>
      <w:keepNext/>
      <w:tabs>
        <w:tab w:val="num" w:pos="0"/>
      </w:tabs>
      <w:suppressAutoHyphens/>
      <w:spacing w:after="0" w:line="240" w:lineRule="auto"/>
      <w:jc w:val="both"/>
      <w:outlineLvl w:val="4"/>
    </w:pPr>
    <w:rPr>
      <w:rFonts w:ascii="Arial" w:eastAsia="Times New Roman" w:hAnsi="Arial" w:cs="Times New Roman"/>
      <w:b/>
      <w:sz w:val="32"/>
      <w:szCs w:val="20"/>
      <w:lang w:eastAsia="en-GB"/>
    </w:rPr>
  </w:style>
  <w:style w:type="paragraph" w:styleId="Heading6">
    <w:name w:val="heading 6"/>
    <w:basedOn w:val="Normal"/>
    <w:next w:val="Normal"/>
    <w:link w:val="Heading6Char"/>
    <w:semiHidden/>
    <w:unhideWhenUsed/>
    <w:qFormat/>
    <w:rsid w:val="00995855"/>
    <w:pPr>
      <w:keepNext/>
      <w:tabs>
        <w:tab w:val="num" w:pos="0"/>
      </w:tabs>
      <w:suppressAutoHyphens/>
      <w:spacing w:after="0" w:line="240" w:lineRule="auto"/>
      <w:jc w:val="right"/>
      <w:outlineLvl w:val="5"/>
    </w:pPr>
    <w:rPr>
      <w:rFonts w:ascii="Arial" w:eastAsia="Times New Roman" w:hAnsi="Arial" w:cs="Times New Roman"/>
      <w:b/>
      <w:color w:val="000000"/>
      <w:sz w:val="18"/>
      <w:szCs w:val="20"/>
      <w:lang w:eastAsia="en-GB"/>
    </w:rPr>
  </w:style>
  <w:style w:type="paragraph" w:styleId="Heading7">
    <w:name w:val="heading 7"/>
    <w:basedOn w:val="Normal"/>
    <w:next w:val="Normal"/>
    <w:link w:val="Heading7Char"/>
    <w:uiPriority w:val="99"/>
    <w:semiHidden/>
    <w:unhideWhenUsed/>
    <w:qFormat/>
    <w:rsid w:val="00995855"/>
    <w:pPr>
      <w:keepNext/>
      <w:tabs>
        <w:tab w:val="num" w:pos="0"/>
      </w:tabs>
      <w:suppressAutoHyphens/>
      <w:spacing w:after="0" w:line="240" w:lineRule="auto"/>
      <w:jc w:val="center"/>
      <w:outlineLvl w:val="6"/>
    </w:pPr>
    <w:rPr>
      <w:rFonts w:ascii="Arial" w:eastAsia="Times New Roman" w:hAnsi="Arial" w:cs="Times New Roman"/>
      <w:b/>
      <w:sz w:val="20"/>
      <w:szCs w:val="20"/>
      <w:lang w:eastAsia="en-GB"/>
    </w:rPr>
  </w:style>
  <w:style w:type="paragraph" w:styleId="Heading8">
    <w:name w:val="heading 8"/>
    <w:basedOn w:val="Normal"/>
    <w:next w:val="Normal"/>
    <w:link w:val="Heading8Char"/>
    <w:uiPriority w:val="99"/>
    <w:semiHidden/>
    <w:unhideWhenUsed/>
    <w:qFormat/>
    <w:rsid w:val="00995855"/>
    <w:pPr>
      <w:suppressAutoHyphens/>
      <w:spacing w:before="240" w:after="60" w:line="240" w:lineRule="auto"/>
      <w:outlineLvl w:val="7"/>
    </w:pPr>
    <w:rPr>
      <w:rFonts w:ascii="Arial" w:eastAsia="Times New Roman" w:hAnsi="Arial" w:cs="Times New Roman"/>
      <w:i/>
      <w:iCs/>
      <w:sz w:val="24"/>
      <w:szCs w:val="24"/>
      <w:lang w:eastAsia="en-GB"/>
    </w:rPr>
  </w:style>
  <w:style w:type="paragraph" w:styleId="Heading9">
    <w:name w:val="heading 9"/>
    <w:basedOn w:val="Normal"/>
    <w:next w:val="Normal"/>
    <w:link w:val="Heading9Char"/>
    <w:uiPriority w:val="99"/>
    <w:semiHidden/>
    <w:unhideWhenUsed/>
    <w:qFormat/>
    <w:rsid w:val="00995855"/>
    <w:pPr>
      <w:keepNext/>
      <w:tabs>
        <w:tab w:val="num" w:pos="0"/>
        <w:tab w:val="right" w:pos="1427"/>
      </w:tabs>
      <w:suppressAutoHyphens/>
      <w:spacing w:after="0" w:line="240" w:lineRule="auto"/>
      <w:ind w:right="-17"/>
      <w:jc w:val="both"/>
      <w:outlineLvl w:val="8"/>
    </w:pPr>
    <w:rPr>
      <w:rFonts w:ascii="Arial" w:eastAsia="Times New Roman" w:hAnsi="Arial" w:cs="Times New Roman"/>
      <w:i/>
      <w:sz w:val="2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5855"/>
    <w:rPr>
      <w:rFonts w:ascii="Franklin Gothic Book" w:eastAsia="Times New Roman" w:hAnsi="Franklin Gothic Book" w:cs="Times New Roman"/>
      <w:color w:val="941F64"/>
      <w:sz w:val="32"/>
      <w:szCs w:val="20"/>
      <w:lang w:eastAsia="en-GB"/>
    </w:rPr>
  </w:style>
  <w:style w:type="paragraph" w:styleId="BodyText3">
    <w:name w:val="Body Text 3"/>
    <w:basedOn w:val="Normal"/>
    <w:link w:val="BodyText3Char1"/>
    <w:uiPriority w:val="99"/>
    <w:semiHidden/>
    <w:unhideWhenUsed/>
    <w:rsid w:val="00995855"/>
    <w:pPr>
      <w:tabs>
        <w:tab w:val="right" w:pos="9071"/>
      </w:tabs>
      <w:suppressAutoHyphens/>
      <w:spacing w:after="0" w:line="240" w:lineRule="auto"/>
      <w:ind w:right="1355"/>
      <w:jc w:val="both"/>
    </w:pPr>
    <w:rPr>
      <w:rFonts w:ascii="Times New Roman" w:eastAsia="Times New Roman" w:hAnsi="Times New Roman" w:cs="Times New Roman"/>
      <w:szCs w:val="20"/>
      <w:lang w:eastAsia="en-GB"/>
    </w:rPr>
  </w:style>
  <w:style w:type="character" w:customStyle="1" w:styleId="BodyText3Char1">
    <w:name w:val="Body Text 3 Char1"/>
    <w:basedOn w:val="DefaultParagraphFont"/>
    <w:link w:val="BodyText3"/>
    <w:uiPriority w:val="99"/>
    <w:semiHidden/>
    <w:locked/>
    <w:rsid w:val="00995855"/>
    <w:rPr>
      <w:rFonts w:ascii="Times New Roman" w:eastAsia="Times New Roman" w:hAnsi="Times New Roman" w:cs="Times New Roman"/>
      <w:color w:val="404040" w:themeColor="text1" w:themeTint="BF"/>
      <w:sz w:val="22"/>
      <w:szCs w:val="20"/>
      <w:lang w:eastAsia="en-GB"/>
    </w:rPr>
  </w:style>
  <w:style w:type="character" w:customStyle="1" w:styleId="Heading3Char">
    <w:name w:val="Heading 3 Char"/>
    <w:basedOn w:val="DefaultParagraphFont"/>
    <w:link w:val="Heading3"/>
    <w:rsid w:val="00995855"/>
    <w:rPr>
      <w:rFonts w:ascii="Franklin Gothic Book" w:eastAsia="Times New Roman" w:hAnsi="Franklin Gothic Book" w:cs="Times New Roman"/>
      <w:color w:val="941F64"/>
      <w:szCs w:val="20"/>
      <w:lang w:eastAsia="en-GB"/>
    </w:rPr>
  </w:style>
  <w:style w:type="character" w:customStyle="1" w:styleId="Heading2Char">
    <w:name w:val="Heading 2 Char"/>
    <w:basedOn w:val="DefaultParagraphFont"/>
    <w:link w:val="Heading2"/>
    <w:rsid w:val="00995855"/>
    <w:rPr>
      <w:rFonts w:ascii="Franklin Gothic Book" w:eastAsia="Times New Roman" w:hAnsi="Franklin Gothic Book" w:cs="Times New Roman"/>
      <w:color w:val="941F64"/>
      <w:sz w:val="28"/>
      <w:szCs w:val="20"/>
      <w:lang w:eastAsia="en-GB"/>
    </w:rPr>
  </w:style>
  <w:style w:type="character" w:customStyle="1" w:styleId="Heading4Char">
    <w:name w:val="Heading 4 Char"/>
    <w:basedOn w:val="DefaultParagraphFont"/>
    <w:link w:val="Heading4"/>
    <w:rsid w:val="00995855"/>
    <w:rPr>
      <w:rFonts w:ascii="Franklin Gothic Book" w:eastAsia="Times New Roman" w:hAnsi="Franklin Gothic Book" w:cs="Times New Roman"/>
      <w:i/>
      <w:color w:val="941F64"/>
      <w:sz w:val="22"/>
      <w:szCs w:val="20"/>
      <w:lang w:eastAsia="en-GB"/>
    </w:rPr>
  </w:style>
  <w:style w:type="character" w:customStyle="1" w:styleId="Heading5Char">
    <w:name w:val="Heading 5 Char"/>
    <w:basedOn w:val="DefaultParagraphFont"/>
    <w:link w:val="Heading5"/>
    <w:semiHidden/>
    <w:rsid w:val="00995855"/>
    <w:rPr>
      <w:rFonts w:eastAsia="Times New Roman" w:cs="Times New Roman"/>
      <w:b/>
      <w:color w:val="404040" w:themeColor="text1" w:themeTint="BF"/>
      <w:sz w:val="32"/>
      <w:szCs w:val="20"/>
      <w:lang w:eastAsia="en-GB"/>
    </w:rPr>
  </w:style>
  <w:style w:type="character" w:customStyle="1" w:styleId="Heading8Char">
    <w:name w:val="Heading 8 Char"/>
    <w:basedOn w:val="DefaultParagraphFont"/>
    <w:link w:val="Heading8"/>
    <w:uiPriority w:val="99"/>
    <w:semiHidden/>
    <w:rsid w:val="00995855"/>
    <w:rPr>
      <w:rFonts w:eastAsia="Times New Roman" w:cs="Times New Roman"/>
      <w:i/>
      <w:iCs/>
      <w:color w:val="404040" w:themeColor="text1" w:themeTint="BF"/>
      <w:lang w:eastAsia="en-GB"/>
    </w:rPr>
  </w:style>
  <w:style w:type="character" w:customStyle="1" w:styleId="Heading6Char">
    <w:name w:val="Heading 6 Char"/>
    <w:basedOn w:val="DefaultParagraphFont"/>
    <w:link w:val="Heading6"/>
    <w:semiHidden/>
    <w:rsid w:val="00995855"/>
    <w:rPr>
      <w:rFonts w:eastAsia="Times New Roman" w:cs="Times New Roman"/>
      <w:b/>
      <w:color w:val="000000"/>
      <w:sz w:val="18"/>
      <w:szCs w:val="20"/>
      <w:lang w:eastAsia="en-GB"/>
    </w:rPr>
  </w:style>
  <w:style w:type="character" w:customStyle="1" w:styleId="Heading7Char">
    <w:name w:val="Heading 7 Char"/>
    <w:basedOn w:val="DefaultParagraphFont"/>
    <w:link w:val="Heading7"/>
    <w:uiPriority w:val="99"/>
    <w:semiHidden/>
    <w:rsid w:val="00995855"/>
    <w:rPr>
      <w:rFonts w:eastAsia="Times New Roman" w:cs="Times New Roman"/>
      <w:b/>
      <w:color w:val="404040" w:themeColor="text1" w:themeTint="BF"/>
      <w:sz w:val="20"/>
      <w:szCs w:val="20"/>
      <w:lang w:eastAsia="en-GB"/>
    </w:rPr>
  </w:style>
  <w:style w:type="character" w:customStyle="1" w:styleId="Heading9Char">
    <w:name w:val="Heading 9 Char"/>
    <w:basedOn w:val="DefaultParagraphFont"/>
    <w:link w:val="Heading9"/>
    <w:uiPriority w:val="99"/>
    <w:semiHidden/>
    <w:rsid w:val="00995855"/>
    <w:rPr>
      <w:rFonts w:eastAsia="Times New Roman" w:cs="Times New Roman"/>
      <w:i/>
      <w:color w:val="404040" w:themeColor="text1" w:themeTint="BF"/>
      <w:sz w:val="26"/>
      <w:szCs w:val="20"/>
      <w:lang w:eastAsia="en-GB"/>
    </w:rPr>
  </w:style>
  <w:style w:type="character" w:customStyle="1" w:styleId="BodyText3Char">
    <w:name w:val="Body Text 3 Char"/>
    <w:basedOn w:val="DefaultParagraphFont"/>
    <w:semiHidden/>
    <w:rsid w:val="00995855"/>
    <w:rPr>
      <w:rFonts w:ascii="Franklin Gothic Book" w:hAnsi="Franklin Gothic Book" w:cstheme="minorBidi"/>
      <w:color w:val="404040" w:themeColor="text1" w:themeTint="BF"/>
      <w:sz w:val="16"/>
      <w:szCs w:val="16"/>
    </w:rPr>
  </w:style>
  <w:style w:type="paragraph" w:styleId="Title">
    <w:name w:val="Title"/>
    <w:basedOn w:val="Normal"/>
    <w:link w:val="TitleChar"/>
    <w:uiPriority w:val="99"/>
    <w:qFormat/>
    <w:rsid w:val="00995855"/>
    <w:pPr>
      <w:spacing w:after="240" w:line="240" w:lineRule="auto"/>
      <w:jc w:val="center"/>
    </w:pPr>
    <w:rPr>
      <w:rFonts w:ascii="Arial (W1)" w:eastAsia="Times New Roman" w:hAnsi="Arial (W1)" w:cs="Times New Roman"/>
      <w:b/>
      <w:sz w:val="24"/>
      <w:szCs w:val="20"/>
    </w:rPr>
  </w:style>
  <w:style w:type="character" w:customStyle="1" w:styleId="TitleChar">
    <w:name w:val="Title Char"/>
    <w:basedOn w:val="DefaultParagraphFont"/>
    <w:link w:val="Title"/>
    <w:uiPriority w:val="99"/>
    <w:rsid w:val="00995855"/>
    <w:rPr>
      <w:rFonts w:ascii="Arial (W1)" w:eastAsia="Times New Roman" w:hAnsi="Arial (W1)" w:cs="Times New Roman"/>
      <w:b/>
      <w:color w:val="404040" w:themeColor="text1" w:themeTint="BF"/>
      <w:szCs w:val="20"/>
    </w:rPr>
  </w:style>
  <w:style w:type="paragraph" w:customStyle="1" w:styleId="Body">
    <w:name w:val="Body"/>
    <w:basedOn w:val="Normal"/>
    <w:rsid w:val="00995855"/>
    <w:pPr>
      <w:widowControl w:val="0"/>
      <w:tabs>
        <w:tab w:val="left" w:pos="851"/>
        <w:tab w:val="left" w:pos="1843"/>
        <w:tab w:val="left" w:pos="3119"/>
        <w:tab w:val="left" w:pos="4253"/>
      </w:tabs>
      <w:adjustRightInd w:val="0"/>
      <w:spacing w:after="240" w:line="312" w:lineRule="auto"/>
      <w:jc w:val="both"/>
    </w:pPr>
    <w:rPr>
      <w:rFonts w:ascii="Arial" w:eastAsia="Times New Roman" w:hAnsi="Arial" w:cs="Times New Roman"/>
      <w:sz w:val="24"/>
      <w:szCs w:val="20"/>
      <w:lang w:eastAsia="en-GB"/>
    </w:rPr>
  </w:style>
  <w:style w:type="character" w:customStyle="1" w:styleId="HTMLAddressChar">
    <w:name w:val="HTML Address Char"/>
    <w:basedOn w:val="DefaultParagraphFont"/>
    <w:link w:val="HTMLAddress"/>
    <w:semiHidden/>
    <w:rsid w:val="00995855"/>
    <w:rPr>
      <w:rFonts w:eastAsia="Times New Roman" w:cs="Times New Roman"/>
      <w:i/>
      <w:iCs/>
      <w:sz w:val="20"/>
      <w:szCs w:val="20"/>
      <w:lang w:eastAsia="en-GB"/>
    </w:rPr>
  </w:style>
  <w:style w:type="paragraph" w:styleId="HTMLAddress">
    <w:name w:val="HTML Address"/>
    <w:basedOn w:val="Normal"/>
    <w:link w:val="HTMLAddressChar"/>
    <w:semiHidden/>
    <w:unhideWhenUsed/>
    <w:rsid w:val="00995855"/>
    <w:pPr>
      <w:suppressAutoHyphens/>
      <w:spacing w:after="0" w:line="240" w:lineRule="auto"/>
    </w:pPr>
    <w:rPr>
      <w:rFonts w:ascii="Arial" w:eastAsia="Times New Roman" w:hAnsi="Arial" w:cs="Times New Roman"/>
      <w:i/>
      <w:iCs/>
      <w:color w:val="auto"/>
      <w:sz w:val="20"/>
      <w:szCs w:val="20"/>
      <w:lang w:eastAsia="en-GB"/>
    </w:rPr>
  </w:style>
  <w:style w:type="character" w:customStyle="1" w:styleId="HTMLAddressChar1">
    <w:name w:val="HTML Address Char1"/>
    <w:basedOn w:val="DefaultParagraphFont"/>
    <w:semiHidden/>
    <w:rsid w:val="00995855"/>
    <w:rPr>
      <w:rFonts w:ascii="Franklin Gothic Book" w:hAnsi="Franklin Gothic Book" w:cstheme="minorBidi"/>
      <w:i/>
      <w:iCs/>
      <w:color w:val="404040" w:themeColor="text1" w:themeTint="BF"/>
      <w:sz w:val="22"/>
      <w:szCs w:val="22"/>
    </w:rPr>
  </w:style>
  <w:style w:type="character" w:customStyle="1" w:styleId="HTMLPreformattedChar">
    <w:name w:val="HTML Preformatted Char"/>
    <w:basedOn w:val="DefaultParagraphFont"/>
    <w:link w:val="HTMLPreformatted"/>
    <w:semiHidden/>
    <w:rsid w:val="00995855"/>
    <w:rPr>
      <w:rFonts w:ascii="Courier New" w:eastAsia="Times New Roman" w:hAnsi="Courier New" w:cs="AGaramond-Italic"/>
      <w:sz w:val="20"/>
      <w:szCs w:val="20"/>
      <w:lang w:eastAsia="en-GB"/>
    </w:rPr>
  </w:style>
  <w:style w:type="paragraph" w:styleId="HTMLPreformatted">
    <w:name w:val="HTML Preformatted"/>
    <w:basedOn w:val="Normal"/>
    <w:link w:val="HTMLPreformattedChar"/>
    <w:semiHidden/>
    <w:unhideWhenUsed/>
    <w:rsid w:val="00995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AGaramond-Italic"/>
      <w:color w:val="auto"/>
      <w:sz w:val="20"/>
      <w:szCs w:val="20"/>
      <w:lang w:eastAsia="en-GB"/>
    </w:rPr>
  </w:style>
  <w:style w:type="character" w:customStyle="1" w:styleId="HTMLPreformattedChar1">
    <w:name w:val="HTML Preformatted Char1"/>
    <w:basedOn w:val="DefaultParagraphFont"/>
    <w:semiHidden/>
    <w:rsid w:val="00995855"/>
    <w:rPr>
      <w:rFonts w:ascii="Consolas" w:hAnsi="Consolas" w:cstheme="minorBidi"/>
      <w:color w:val="404040" w:themeColor="text1" w:themeTint="BF"/>
      <w:sz w:val="20"/>
      <w:szCs w:val="20"/>
    </w:rPr>
  </w:style>
  <w:style w:type="character" w:customStyle="1" w:styleId="FootnoteTextChar">
    <w:name w:val="Footnote Text Char"/>
    <w:basedOn w:val="DefaultParagraphFont"/>
    <w:link w:val="FootnoteText"/>
    <w:uiPriority w:val="99"/>
    <w:semiHidden/>
    <w:rsid w:val="00995855"/>
    <w:rPr>
      <w:rFonts w:eastAsia="Times New Roman" w:cs="Times New Roman"/>
      <w:sz w:val="20"/>
      <w:szCs w:val="20"/>
      <w:lang w:eastAsia="en-GB"/>
    </w:rPr>
  </w:style>
  <w:style w:type="paragraph" w:styleId="FootnoteText">
    <w:name w:val="footnote text"/>
    <w:basedOn w:val="Normal"/>
    <w:link w:val="FootnoteText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FootnoteTextChar1">
    <w:name w:val="Footnote Text Char1"/>
    <w:basedOn w:val="DefaultParagraphFont"/>
    <w:uiPriority w:val="99"/>
    <w:semiHidden/>
    <w:rsid w:val="00995855"/>
    <w:rPr>
      <w:rFonts w:ascii="Franklin Gothic Book" w:hAnsi="Franklin Gothic Book" w:cstheme="minorBidi"/>
      <w:color w:val="404040" w:themeColor="text1" w:themeTint="BF"/>
      <w:sz w:val="20"/>
      <w:szCs w:val="20"/>
    </w:rPr>
  </w:style>
  <w:style w:type="character" w:customStyle="1" w:styleId="CommentTextChar">
    <w:name w:val="Comment Text Char"/>
    <w:basedOn w:val="DefaultParagraphFont"/>
    <w:link w:val="CommentText"/>
    <w:uiPriority w:val="99"/>
    <w:rsid w:val="00995855"/>
    <w:rPr>
      <w:rFonts w:eastAsia="Times New Roman" w:cs="Times New Roman"/>
      <w:sz w:val="20"/>
      <w:szCs w:val="20"/>
      <w:lang w:eastAsia="en-GB"/>
    </w:rPr>
  </w:style>
  <w:style w:type="paragraph" w:styleId="CommentText">
    <w:name w:val="annotation text"/>
    <w:basedOn w:val="Normal"/>
    <w:link w:val="CommentTextChar"/>
    <w:uiPriority w:val="99"/>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CommentTextChar1">
    <w:name w:val="Comment Text Char1"/>
    <w:basedOn w:val="DefaultParagraphFont"/>
    <w:uiPriority w:val="99"/>
    <w:semiHidden/>
    <w:rsid w:val="00995855"/>
    <w:rPr>
      <w:rFonts w:ascii="Franklin Gothic Book" w:hAnsi="Franklin Gothic Book" w:cstheme="minorBidi"/>
      <w:color w:val="404040" w:themeColor="text1" w:themeTint="BF"/>
      <w:sz w:val="20"/>
      <w:szCs w:val="20"/>
    </w:rPr>
  </w:style>
  <w:style w:type="character" w:customStyle="1" w:styleId="HeaderChar">
    <w:name w:val="Header Char"/>
    <w:basedOn w:val="DefaultParagraphFont"/>
    <w:link w:val="Header"/>
    <w:uiPriority w:val="99"/>
    <w:rsid w:val="00995855"/>
    <w:rPr>
      <w:rFonts w:eastAsia="Times New Roman" w:cs="Times New Roman"/>
      <w:sz w:val="20"/>
      <w:szCs w:val="20"/>
      <w:lang w:eastAsia="en-GB"/>
    </w:rPr>
  </w:style>
  <w:style w:type="paragraph" w:styleId="Header">
    <w:name w:val="header"/>
    <w:basedOn w:val="Normal"/>
    <w:link w:val="HeaderChar"/>
    <w:uiPriority w:val="99"/>
    <w:unhideWhenUsed/>
    <w:rsid w:val="00995855"/>
    <w:pPr>
      <w:tabs>
        <w:tab w:val="center" w:pos="4320"/>
        <w:tab w:val="right" w:pos="8640"/>
      </w:tabs>
      <w:suppressAutoHyphens/>
      <w:spacing w:after="0" w:line="240" w:lineRule="auto"/>
    </w:pPr>
    <w:rPr>
      <w:rFonts w:ascii="Arial" w:eastAsia="Times New Roman" w:hAnsi="Arial" w:cs="Times New Roman"/>
      <w:color w:val="auto"/>
      <w:sz w:val="20"/>
      <w:szCs w:val="20"/>
      <w:lang w:eastAsia="en-GB"/>
    </w:rPr>
  </w:style>
  <w:style w:type="character" w:customStyle="1" w:styleId="HeaderChar1">
    <w:name w:val="Header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FooterChar">
    <w:name w:val="Footer Char"/>
    <w:basedOn w:val="DefaultParagraphFont"/>
    <w:link w:val="Footer"/>
    <w:uiPriority w:val="99"/>
    <w:rsid w:val="00995855"/>
    <w:rPr>
      <w:rFonts w:eastAsia="Times New Roman" w:cs="Times New Roman"/>
      <w:sz w:val="20"/>
      <w:szCs w:val="20"/>
      <w:lang w:eastAsia="en-GB"/>
    </w:rPr>
  </w:style>
  <w:style w:type="paragraph" w:styleId="Footer">
    <w:name w:val="footer"/>
    <w:basedOn w:val="Normal"/>
    <w:link w:val="FooterChar"/>
    <w:uiPriority w:val="99"/>
    <w:unhideWhenUsed/>
    <w:rsid w:val="00995855"/>
    <w:pPr>
      <w:tabs>
        <w:tab w:val="center" w:pos="4320"/>
        <w:tab w:val="right" w:pos="8640"/>
      </w:tabs>
      <w:suppressAutoHyphens/>
      <w:spacing w:after="0" w:line="240" w:lineRule="auto"/>
    </w:pPr>
    <w:rPr>
      <w:rFonts w:ascii="Arial" w:eastAsia="Times New Roman" w:hAnsi="Arial" w:cs="Times New Roman"/>
      <w:color w:val="auto"/>
      <w:sz w:val="20"/>
      <w:szCs w:val="20"/>
      <w:lang w:eastAsia="en-GB"/>
    </w:rPr>
  </w:style>
  <w:style w:type="character" w:customStyle="1" w:styleId="FooterChar1">
    <w:name w:val="Footer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TableofFiguresChar">
    <w:name w:val="Table of Figures Char"/>
    <w:aliases w:val="TABLE Char"/>
    <w:link w:val="TableofFigures"/>
    <w:uiPriority w:val="99"/>
    <w:locked/>
    <w:rsid w:val="00995855"/>
  </w:style>
  <w:style w:type="paragraph" w:styleId="TableofFigures">
    <w:name w:val="table of figures"/>
    <w:aliases w:val="TABLE"/>
    <w:basedOn w:val="Normal"/>
    <w:next w:val="Normal"/>
    <w:link w:val="TableofFiguresChar"/>
    <w:uiPriority w:val="99"/>
    <w:unhideWhenUsed/>
    <w:rsid w:val="00995855"/>
    <w:pPr>
      <w:suppressAutoHyphens/>
      <w:spacing w:before="120" w:after="120" w:line="240" w:lineRule="auto"/>
      <w:ind w:left="992" w:right="249" w:hanging="992"/>
    </w:pPr>
    <w:rPr>
      <w:rFonts w:ascii="Arial" w:hAnsi="Arial" w:cs="Arial"/>
      <w:color w:val="auto"/>
      <w:sz w:val="24"/>
      <w:szCs w:val="24"/>
    </w:rPr>
  </w:style>
  <w:style w:type="character" w:customStyle="1" w:styleId="EndnoteTextChar">
    <w:name w:val="Endnote Text Char"/>
    <w:basedOn w:val="DefaultParagraphFont"/>
    <w:link w:val="EndnoteText"/>
    <w:uiPriority w:val="99"/>
    <w:semiHidden/>
    <w:rsid w:val="00995855"/>
    <w:rPr>
      <w:rFonts w:eastAsia="Times New Roman" w:cs="Times New Roman"/>
      <w:sz w:val="20"/>
      <w:szCs w:val="20"/>
      <w:lang w:eastAsia="en-GB"/>
    </w:rPr>
  </w:style>
  <w:style w:type="paragraph" w:styleId="EndnoteText">
    <w:name w:val="endnote text"/>
    <w:basedOn w:val="Normal"/>
    <w:link w:val="EndnoteText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EndnoteTextChar1">
    <w:name w:val="Endnote Text Char1"/>
    <w:basedOn w:val="DefaultParagraphFont"/>
    <w:uiPriority w:val="99"/>
    <w:semiHidden/>
    <w:rsid w:val="00995855"/>
    <w:rPr>
      <w:rFonts w:ascii="Franklin Gothic Book" w:hAnsi="Franklin Gothic Book" w:cstheme="minorBidi"/>
      <w:color w:val="404040" w:themeColor="text1" w:themeTint="BF"/>
      <w:sz w:val="20"/>
      <w:szCs w:val="20"/>
    </w:rPr>
  </w:style>
  <w:style w:type="character" w:customStyle="1" w:styleId="MacroTextChar">
    <w:name w:val="Macro Text Char"/>
    <w:basedOn w:val="DefaultParagraphFont"/>
    <w:link w:val="MacroText"/>
    <w:uiPriority w:val="99"/>
    <w:semiHidden/>
    <w:rsid w:val="00995855"/>
    <w:rPr>
      <w:rFonts w:ascii="Courier New" w:eastAsia="Arial" w:hAnsi="Courier New" w:cs="AGaramond-Italic"/>
      <w:sz w:val="20"/>
      <w:szCs w:val="20"/>
      <w:lang w:val="en-US" w:eastAsia="en-GB"/>
    </w:rPr>
  </w:style>
  <w:style w:type="paragraph" w:styleId="MacroText">
    <w:name w:val="macro"/>
    <w:link w:val="MacroTextChar"/>
    <w:uiPriority w:val="99"/>
    <w:semiHidden/>
    <w:unhideWhenUsed/>
    <w:rsid w:val="00995855"/>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AGaramond-Italic"/>
      <w:sz w:val="20"/>
      <w:szCs w:val="20"/>
      <w:lang w:val="en-US" w:eastAsia="en-GB"/>
    </w:rPr>
  </w:style>
  <w:style w:type="character" w:customStyle="1" w:styleId="MacroTextChar1">
    <w:name w:val="Macro Text Char1"/>
    <w:basedOn w:val="DefaultParagraphFont"/>
    <w:uiPriority w:val="99"/>
    <w:semiHidden/>
    <w:rsid w:val="00995855"/>
    <w:rPr>
      <w:rFonts w:ascii="Consolas" w:hAnsi="Consolas" w:cstheme="minorBidi"/>
      <w:color w:val="404040" w:themeColor="text1" w:themeTint="BF"/>
      <w:sz w:val="20"/>
      <w:szCs w:val="20"/>
    </w:rPr>
  </w:style>
  <w:style w:type="character" w:customStyle="1" w:styleId="SubtitleChar">
    <w:name w:val="Subtitle Char"/>
    <w:basedOn w:val="DefaultParagraphFont"/>
    <w:link w:val="Subtitle"/>
    <w:uiPriority w:val="99"/>
    <w:rsid w:val="00995855"/>
    <w:rPr>
      <w:rFonts w:eastAsia="Times New Roman"/>
      <w:lang w:eastAsia="en-GB"/>
    </w:rPr>
  </w:style>
  <w:style w:type="paragraph" w:styleId="Subtitle">
    <w:name w:val="Subtitle"/>
    <w:basedOn w:val="Normal"/>
    <w:next w:val="BodyText"/>
    <w:link w:val="SubtitleChar"/>
    <w:uiPriority w:val="99"/>
    <w:qFormat/>
    <w:rsid w:val="00995855"/>
    <w:pPr>
      <w:suppressAutoHyphens/>
      <w:spacing w:after="60" w:line="240" w:lineRule="auto"/>
      <w:jc w:val="center"/>
    </w:pPr>
    <w:rPr>
      <w:rFonts w:ascii="Arial" w:eastAsia="Times New Roman" w:hAnsi="Arial" w:cs="Arial"/>
      <w:color w:val="auto"/>
      <w:sz w:val="24"/>
      <w:szCs w:val="24"/>
      <w:lang w:eastAsia="en-GB"/>
    </w:rPr>
  </w:style>
  <w:style w:type="paragraph" w:styleId="BodyText">
    <w:name w:val="Body Text"/>
    <w:basedOn w:val="Normal"/>
    <w:link w:val="BodyTextChar"/>
    <w:uiPriority w:val="99"/>
    <w:semiHidden/>
    <w:unhideWhenUsed/>
    <w:rsid w:val="00995855"/>
    <w:pPr>
      <w:suppressAutoHyphens/>
      <w:spacing w:after="0" w:line="240" w:lineRule="auto"/>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uiPriority w:val="99"/>
    <w:semiHidden/>
    <w:rsid w:val="00995855"/>
    <w:rPr>
      <w:rFonts w:eastAsia="Times New Roman" w:cs="Times New Roman"/>
      <w:b/>
      <w:color w:val="404040" w:themeColor="text1" w:themeTint="BF"/>
      <w:sz w:val="20"/>
      <w:szCs w:val="20"/>
      <w:lang w:eastAsia="en-GB"/>
    </w:rPr>
  </w:style>
  <w:style w:type="character" w:customStyle="1" w:styleId="SubtitleChar1">
    <w:name w:val="Subtitle Char1"/>
    <w:basedOn w:val="DefaultParagraphFont"/>
    <w:uiPriority w:val="99"/>
    <w:rsid w:val="00995855"/>
    <w:rPr>
      <w:rFonts w:asciiTheme="minorHAnsi" w:eastAsiaTheme="minorEastAsia" w:hAnsiTheme="minorHAnsi" w:cstheme="minorBidi"/>
      <w:color w:val="5A5A5A" w:themeColor="text1" w:themeTint="A5"/>
      <w:spacing w:val="15"/>
      <w:sz w:val="22"/>
      <w:szCs w:val="22"/>
    </w:rPr>
  </w:style>
  <w:style w:type="character" w:customStyle="1" w:styleId="ClosingChar">
    <w:name w:val="Closing Char"/>
    <w:basedOn w:val="DefaultParagraphFont"/>
    <w:link w:val="Closing"/>
    <w:uiPriority w:val="99"/>
    <w:semiHidden/>
    <w:rsid w:val="00995855"/>
    <w:rPr>
      <w:rFonts w:eastAsia="Times New Roman" w:cs="Times New Roman"/>
      <w:sz w:val="20"/>
      <w:szCs w:val="20"/>
      <w:lang w:eastAsia="en-GB"/>
    </w:rPr>
  </w:style>
  <w:style w:type="paragraph" w:styleId="Closing">
    <w:name w:val="Closing"/>
    <w:basedOn w:val="Normal"/>
    <w:link w:val="ClosingChar"/>
    <w:uiPriority w:val="99"/>
    <w:semiHidden/>
    <w:unhideWhenUsed/>
    <w:rsid w:val="00995855"/>
    <w:pPr>
      <w:suppressAutoHyphens/>
      <w:spacing w:after="0" w:line="240" w:lineRule="auto"/>
      <w:ind w:left="4252"/>
    </w:pPr>
    <w:rPr>
      <w:rFonts w:ascii="Arial" w:eastAsia="Times New Roman" w:hAnsi="Arial" w:cs="Times New Roman"/>
      <w:color w:val="auto"/>
      <w:sz w:val="20"/>
      <w:szCs w:val="20"/>
      <w:lang w:eastAsia="en-GB"/>
    </w:rPr>
  </w:style>
  <w:style w:type="character" w:customStyle="1" w:styleId="ClosingChar1">
    <w:name w:val="Closing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SignatureChar">
    <w:name w:val="Signature Char"/>
    <w:basedOn w:val="DefaultParagraphFont"/>
    <w:link w:val="Signature"/>
    <w:uiPriority w:val="99"/>
    <w:semiHidden/>
    <w:rsid w:val="00995855"/>
    <w:rPr>
      <w:rFonts w:eastAsia="Times New Roman" w:cs="Times New Roman"/>
      <w:sz w:val="20"/>
      <w:szCs w:val="20"/>
      <w:lang w:eastAsia="en-GB"/>
    </w:rPr>
  </w:style>
  <w:style w:type="paragraph" w:styleId="Signature">
    <w:name w:val="Signature"/>
    <w:basedOn w:val="Normal"/>
    <w:link w:val="SignatureChar"/>
    <w:uiPriority w:val="99"/>
    <w:semiHidden/>
    <w:unhideWhenUsed/>
    <w:rsid w:val="00995855"/>
    <w:pPr>
      <w:suppressAutoHyphens/>
      <w:spacing w:after="0" w:line="240" w:lineRule="auto"/>
      <w:ind w:left="4252"/>
    </w:pPr>
    <w:rPr>
      <w:rFonts w:ascii="Arial" w:eastAsia="Times New Roman" w:hAnsi="Arial" w:cs="Times New Roman"/>
      <w:color w:val="auto"/>
      <w:sz w:val="20"/>
      <w:szCs w:val="20"/>
      <w:lang w:eastAsia="en-GB"/>
    </w:rPr>
  </w:style>
  <w:style w:type="character" w:customStyle="1" w:styleId="SignatureChar1">
    <w:name w:val="Signature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BodyTextIndentChar">
    <w:name w:val="Body Text Indent Char"/>
    <w:basedOn w:val="DefaultParagraphFont"/>
    <w:link w:val="BodyTextIndent"/>
    <w:uiPriority w:val="99"/>
    <w:semiHidden/>
    <w:rsid w:val="00995855"/>
    <w:rPr>
      <w:rFonts w:eastAsia="Times New Roman" w:cs="Times New Roman"/>
      <w:sz w:val="20"/>
      <w:szCs w:val="20"/>
      <w:lang w:eastAsia="en-GB"/>
    </w:rPr>
  </w:style>
  <w:style w:type="paragraph" w:styleId="BodyTextIndent">
    <w:name w:val="Body Text Indent"/>
    <w:basedOn w:val="Normal"/>
    <w:link w:val="BodyTextIndentChar"/>
    <w:uiPriority w:val="99"/>
    <w:semiHidden/>
    <w:unhideWhenUsed/>
    <w:rsid w:val="00995855"/>
    <w:pPr>
      <w:suppressAutoHyphens/>
      <w:spacing w:after="120" w:line="240" w:lineRule="auto"/>
      <w:ind w:left="283"/>
    </w:pPr>
    <w:rPr>
      <w:rFonts w:ascii="Arial" w:eastAsia="Times New Roman" w:hAnsi="Arial" w:cs="Times New Roman"/>
      <w:color w:val="auto"/>
      <w:sz w:val="20"/>
      <w:szCs w:val="20"/>
      <w:lang w:eastAsia="en-GB"/>
    </w:rPr>
  </w:style>
  <w:style w:type="character" w:customStyle="1" w:styleId="BodyTextIndentChar1">
    <w:name w:val="Body Text Indent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MessageHeaderChar">
    <w:name w:val="Message Header Char"/>
    <w:basedOn w:val="DefaultParagraphFont"/>
    <w:link w:val="MessageHeader"/>
    <w:uiPriority w:val="99"/>
    <w:semiHidden/>
    <w:rsid w:val="00995855"/>
    <w:rPr>
      <w:rFonts w:eastAsia="Times New Roman"/>
      <w:shd w:val="clear" w:color="auto" w:fill="CCCCCC"/>
      <w:lang w:eastAsia="en-GB"/>
    </w:rPr>
  </w:style>
  <w:style w:type="paragraph" w:styleId="MessageHeader">
    <w:name w:val="Message Header"/>
    <w:basedOn w:val="Normal"/>
    <w:link w:val="MessageHeaderChar"/>
    <w:uiPriority w:val="99"/>
    <w:semiHidden/>
    <w:unhideWhenUsed/>
    <w:rsid w:val="00995855"/>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color w:val="auto"/>
      <w:sz w:val="24"/>
      <w:szCs w:val="24"/>
      <w:lang w:eastAsia="en-GB"/>
    </w:rPr>
  </w:style>
  <w:style w:type="character" w:customStyle="1" w:styleId="MessageHeaderChar1">
    <w:name w:val="Message Header Char1"/>
    <w:basedOn w:val="DefaultParagraphFont"/>
    <w:uiPriority w:val="99"/>
    <w:semiHidden/>
    <w:rsid w:val="00995855"/>
    <w:rPr>
      <w:rFonts w:asciiTheme="majorHAnsi" w:eastAsiaTheme="majorEastAsia" w:hAnsiTheme="majorHAnsi" w:cstheme="majorBidi"/>
      <w:color w:val="404040" w:themeColor="text1" w:themeTint="BF"/>
      <w:shd w:val="pct20" w:color="auto" w:fill="auto"/>
    </w:rPr>
  </w:style>
  <w:style w:type="character" w:customStyle="1" w:styleId="SalutationChar">
    <w:name w:val="Salutation Char"/>
    <w:basedOn w:val="DefaultParagraphFont"/>
    <w:link w:val="Salutation"/>
    <w:uiPriority w:val="99"/>
    <w:semiHidden/>
    <w:rsid w:val="00995855"/>
    <w:rPr>
      <w:rFonts w:eastAsia="Times New Roman" w:cs="Times New Roman"/>
      <w:sz w:val="20"/>
      <w:szCs w:val="20"/>
      <w:lang w:eastAsia="en-GB"/>
    </w:rPr>
  </w:style>
  <w:style w:type="paragraph" w:styleId="Salutation">
    <w:name w:val="Salutation"/>
    <w:basedOn w:val="Normal"/>
    <w:next w:val="Normal"/>
    <w:link w:val="Salutation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SalutationChar1">
    <w:name w:val="Salutation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DateChar">
    <w:name w:val="Date Char"/>
    <w:basedOn w:val="DefaultParagraphFont"/>
    <w:link w:val="Date"/>
    <w:uiPriority w:val="99"/>
    <w:semiHidden/>
    <w:rsid w:val="00995855"/>
    <w:rPr>
      <w:rFonts w:eastAsia="Times New Roman" w:cs="Times New Roman"/>
      <w:sz w:val="20"/>
      <w:szCs w:val="20"/>
      <w:lang w:eastAsia="en-GB"/>
    </w:rPr>
  </w:style>
  <w:style w:type="paragraph" w:styleId="Date">
    <w:name w:val="Date"/>
    <w:basedOn w:val="Normal"/>
    <w:next w:val="Normal"/>
    <w:link w:val="Date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DateChar1">
    <w:name w:val="Date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BodyTextFirstIndentChar">
    <w:name w:val="Body Text First Indent Char"/>
    <w:basedOn w:val="BodyTextChar"/>
    <w:link w:val="BodyTextFirstIndent"/>
    <w:uiPriority w:val="99"/>
    <w:semiHidden/>
    <w:rsid w:val="00995855"/>
    <w:rPr>
      <w:rFonts w:eastAsia="Times New Roman" w:cs="Times New Roman"/>
      <w:b w:val="0"/>
      <w:color w:val="404040" w:themeColor="text1" w:themeTint="BF"/>
      <w:sz w:val="20"/>
      <w:szCs w:val="20"/>
      <w:lang w:val="en-US" w:eastAsia="en-GB"/>
    </w:rPr>
  </w:style>
  <w:style w:type="paragraph" w:styleId="BodyTextFirstIndent">
    <w:name w:val="Body Text First Indent"/>
    <w:basedOn w:val="BodyText"/>
    <w:link w:val="BodyTextFirstIndentChar"/>
    <w:uiPriority w:val="99"/>
    <w:semiHidden/>
    <w:unhideWhenUsed/>
    <w:rsid w:val="00995855"/>
    <w:pPr>
      <w:spacing w:after="120"/>
      <w:ind w:firstLine="210"/>
    </w:pPr>
    <w:rPr>
      <w:b w:val="0"/>
      <w:lang w:val="en-US"/>
    </w:rPr>
  </w:style>
  <w:style w:type="character" w:customStyle="1" w:styleId="BodyTextFirstIndentChar1">
    <w:name w:val="Body Text First Indent Char1"/>
    <w:basedOn w:val="BodyTextChar"/>
    <w:uiPriority w:val="99"/>
    <w:semiHidden/>
    <w:rsid w:val="00995855"/>
    <w:rPr>
      <w:rFonts w:eastAsia="Times New Roman" w:cs="Times New Roman"/>
      <w:b/>
      <w:color w:val="404040" w:themeColor="text1" w:themeTint="BF"/>
      <w:sz w:val="20"/>
      <w:szCs w:val="20"/>
      <w:lang w:eastAsia="en-GB"/>
    </w:rPr>
  </w:style>
  <w:style w:type="character" w:customStyle="1" w:styleId="BodyTextFirstIndent2Char">
    <w:name w:val="Body Text First Indent 2 Char"/>
    <w:basedOn w:val="BodyTextIndentChar"/>
    <w:link w:val="BodyTextFirstIndent2"/>
    <w:uiPriority w:val="99"/>
    <w:semiHidden/>
    <w:rsid w:val="00995855"/>
    <w:rPr>
      <w:rFonts w:eastAsia="Times New Roman" w:cs="Times New Roman"/>
      <w:sz w:val="20"/>
      <w:szCs w:val="20"/>
      <w:lang w:eastAsia="en-GB"/>
    </w:rPr>
  </w:style>
  <w:style w:type="paragraph" w:styleId="BodyTextFirstIndent2">
    <w:name w:val="Body Text First Indent 2"/>
    <w:basedOn w:val="BodyTextIndent"/>
    <w:link w:val="BodyTextFirstIndent2Char"/>
    <w:uiPriority w:val="99"/>
    <w:semiHidden/>
    <w:unhideWhenUsed/>
    <w:rsid w:val="00995855"/>
    <w:pPr>
      <w:ind w:firstLine="210"/>
    </w:pPr>
  </w:style>
  <w:style w:type="character" w:customStyle="1" w:styleId="BodyTextFirstIndent2Char1">
    <w:name w:val="Body Text First Indent 2 Char1"/>
    <w:basedOn w:val="BodyTextIndentChar1"/>
    <w:uiPriority w:val="99"/>
    <w:semiHidden/>
    <w:rsid w:val="00995855"/>
    <w:rPr>
      <w:rFonts w:ascii="Franklin Gothic Book" w:hAnsi="Franklin Gothic Book" w:cstheme="minorBidi"/>
      <w:color w:val="404040" w:themeColor="text1" w:themeTint="BF"/>
      <w:sz w:val="22"/>
      <w:szCs w:val="22"/>
    </w:rPr>
  </w:style>
  <w:style w:type="character" w:customStyle="1" w:styleId="NoteHeadingChar">
    <w:name w:val="Note Heading Char"/>
    <w:basedOn w:val="DefaultParagraphFont"/>
    <w:link w:val="NoteHeading"/>
    <w:uiPriority w:val="99"/>
    <w:semiHidden/>
    <w:rsid w:val="00995855"/>
    <w:rPr>
      <w:rFonts w:eastAsia="Times New Roman" w:cs="Times New Roman"/>
      <w:sz w:val="20"/>
      <w:szCs w:val="20"/>
      <w:lang w:eastAsia="en-GB"/>
    </w:rPr>
  </w:style>
  <w:style w:type="paragraph" w:styleId="NoteHeading">
    <w:name w:val="Note Heading"/>
    <w:basedOn w:val="Normal"/>
    <w:next w:val="Normal"/>
    <w:link w:val="NoteHeading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NoteHeadingChar1">
    <w:name w:val="Note Heading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BodyText2Char">
    <w:name w:val="Body Text 2 Char"/>
    <w:basedOn w:val="DefaultParagraphFont"/>
    <w:link w:val="BodyText2"/>
    <w:uiPriority w:val="99"/>
    <w:semiHidden/>
    <w:rsid w:val="00995855"/>
    <w:rPr>
      <w:rFonts w:ascii="Times New Roman" w:eastAsia="Times New Roman" w:hAnsi="Times New Roman" w:cs="Times New Roman"/>
      <w:szCs w:val="20"/>
      <w:lang w:eastAsia="en-GB"/>
    </w:rPr>
  </w:style>
  <w:style w:type="paragraph" w:styleId="BodyText2">
    <w:name w:val="Body Text 2"/>
    <w:basedOn w:val="Normal"/>
    <w:link w:val="BodyText2Char"/>
    <w:uiPriority w:val="99"/>
    <w:semiHidden/>
    <w:unhideWhenUsed/>
    <w:rsid w:val="00995855"/>
    <w:pPr>
      <w:tabs>
        <w:tab w:val="right" w:pos="9385"/>
      </w:tabs>
      <w:suppressAutoHyphens/>
      <w:spacing w:after="0" w:line="240" w:lineRule="auto"/>
      <w:ind w:right="1096"/>
      <w:jc w:val="both"/>
    </w:pPr>
    <w:rPr>
      <w:rFonts w:ascii="Times New Roman" w:eastAsia="Times New Roman" w:hAnsi="Times New Roman" w:cs="Times New Roman"/>
      <w:color w:val="auto"/>
      <w:sz w:val="24"/>
      <w:szCs w:val="20"/>
      <w:lang w:eastAsia="en-GB"/>
    </w:rPr>
  </w:style>
  <w:style w:type="character" w:customStyle="1" w:styleId="BodyText2Char1">
    <w:name w:val="Body Text 2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BodyTextIndent2Char">
    <w:name w:val="Body Text Indent 2 Char"/>
    <w:basedOn w:val="DefaultParagraphFont"/>
    <w:link w:val="BodyTextIndent2"/>
    <w:uiPriority w:val="99"/>
    <w:semiHidden/>
    <w:rsid w:val="00995855"/>
    <w:rPr>
      <w:rFonts w:eastAsia="Times New Roman" w:cs="Times New Roman"/>
      <w:sz w:val="20"/>
      <w:szCs w:val="20"/>
      <w:lang w:eastAsia="en-GB"/>
    </w:rPr>
  </w:style>
  <w:style w:type="paragraph" w:styleId="BodyTextIndent2">
    <w:name w:val="Body Text Indent 2"/>
    <w:basedOn w:val="Normal"/>
    <w:link w:val="BodyTextIndent2Char"/>
    <w:uiPriority w:val="99"/>
    <w:semiHidden/>
    <w:unhideWhenUsed/>
    <w:rsid w:val="00995855"/>
    <w:pPr>
      <w:suppressAutoHyphens/>
      <w:spacing w:after="120" w:line="480" w:lineRule="auto"/>
      <w:ind w:left="283"/>
    </w:pPr>
    <w:rPr>
      <w:rFonts w:ascii="Arial" w:eastAsia="Times New Roman" w:hAnsi="Arial" w:cs="Times New Roman"/>
      <w:color w:val="auto"/>
      <w:sz w:val="20"/>
      <w:szCs w:val="20"/>
      <w:lang w:eastAsia="en-GB"/>
    </w:rPr>
  </w:style>
  <w:style w:type="character" w:customStyle="1" w:styleId="BodyTextIndent2Char1">
    <w:name w:val="Body Text Indent 2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BodyTextIndent3Char">
    <w:name w:val="Body Text Indent 3 Char"/>
    <w:basedOn w:val="DefaultParagraphFont"/>
    <w:link w:val="BodyTextIndent3"/>
    <w:uiPriority w:val="99"/>
    <w:semiHidden/>
    <w:rsid w:val="00995855"/>
    <w:rPr>
      <w:rFonts w:eastAsia="Times New Roman"/>
      <w:b/>
      <w:bCs/>
      <w:color w:val="000000"/>
      <w:sz w:val="36"/>
      <w:szCs w:val="36"/>
      <w:lang w:eastAsia="en-GB"/>
    </w:rPr>
  </w:style>
  <w:style w:type="paragraph" w:styleId="BodyTextIndent3">
    <w:name w:val="Body Text Indent 3"/>
    <w:basedOn w:val="Normal"/>
    <w:link w:val="BodyTextIndent3Char"/>
    <w:uiPriority w:val="99"/>
    <w:semiHidden/>
    <w:unhideWhenUsed/>
    <w:rsid w:val="00995855"/>
    <w:pPr>
      <w:suppressAutoHyphens/>
      <w:spacing w:after="0" w:line="240" w:lineRule="auto"/>
      <w:ind w:left="720"/>
      <w:jc w:val="center"/>
    </w:pPr>
    <w:rPr>
      <w:rFonts w:ascii="Arial" w:eastAsia="Times New Roman" w:hAnsi="Arial" w:cs="Arial"/>
      <w:b/>
      <w:bCs/>
      <w:color w:val="000000"/>
      <w:sz w:val="36"/>
      <w:szCs w:val="36"/>
      <w:lang w:eastAsia="en-GB"/>
    </w:rPr>
  </w:style>
  <w:style w:type="character" w:customStyle="1" w:styleId="BodyTextIndent3Char1">
    <w:name w:val="Body Text Indent 3 Char1"/>
    <w:basedOn w:val="DefaultParagraphFont"/>
    <w:uiPriority w:val="99"/>
    <w:semiHidden/>
    <w:rsid w:val="00995855"/>
    <w:rPr>
      <w:rFonts w:ascii="Franklin Gothic Book" w:hAnsi="Franklin Gothic Book" w:cstheme="minorBidi"/>
      <w:color w:val="404040" w:themeColor="text1" w:themeTint="BF"/>
      <w:sz w:val="16"/>
      <w:szCs w:val="16"/>
    </w:rPr>
  </w:style>
  <w:style w:type="character" w:customStyle="1" w:styleId="DocumentMapChar">
    <w:name w:val="Document Map Char"/>
    <w:basedOn w:val="DefaultParagraphFont"/>
    <w:link w:val="DocumentMap"/>
    <w:uiPriority w:val="99"/>
    <w:semiHidden/>
    <w:rsid w:val="00995855"/>
    <w:rPr>
      <w:rFonts w:ascii="Tahoma" w:eastAsia="Times New Roman" w:hAnsi="Tahoma" w:cs="Helvetica"/>
      <w:sz w:val="20"/>
      <w:szCs w:val="20"/>
      <w:shd w:val="clear" w:color="auto" w:fill="000080"/>
      <w:lang w:eastAsia="en-GB"/>
    </w:rPr>
  </w:style>
  <w:style w:type="paragraph" w:styleId="DocumentMap">
    <w:name w:val="Document Map"/>
    <w:basedOn w:val="Normal"/>
    <w:link w:val="DocumentMapChar"/>
    <w:uiPriority w:val="99"/>
    <w:semiHidden/>
    <w:unhideWhenUsed/>
    <w:rsid w:val="00995855"/>
    <w:pPr>
      <w:shd w:val="clear" w:color="auto" w:fill="000080"/>
      <w:suppressAutoHyphens/>
      <w:spacing w:after="0" w:line="240" w:lineRule="auto"/>
    </w:pPr>
    <w:rPr>
      <w:rFonts w:ascii="Tahoma" w:eastAsia="Times New Roman" w:hAnsi="Tahoma" w:cs="Helvetica"/>
      <w:color w:val="auto"/>
      <w:sz w:val="20"/>
      <w:szCs w:val="20"/>
      <w:lang w:eastAsia="en-GB"/>
    </w:rPr>
  </w:style>
  <w:style w:type="character" w:customStyle="1" w:styleId="DocumentMapChar1">
    <w:name w:val="Document Map Char1"/>
    <w:basedOn w:val="DefaultParagraphFont"/>
    <w:uiPriority w:val="99"/>
    <w:semiHidden/>
    <w:rsid w:val="00995855"/>
    <w:rPr>
      <w:rFonts w:ascii="Segoe UI" w:hAnsi="Segoe UI" w:cs="Segoe UI"/>
      <w:color w:val="404040" w:themeColor="text1" w:themeTint="BF"/>
      <w:sz w:val="16"/>
      <w:szCs w:val="16"/>
    </w:rPr>
  </w:style>
  <w:style w:type="paragraph" w:styleId="PlainText">
    <w:name w:val="Plain Text"/>
    <w:basedOn w:val="Normal"/>
    <w:link w:val="PlainTextChar1"/>
    <w:uiPriority w:val="99"/>
    <w:semiHidden/>
    <w:unhideWhenUsed/>
    <w:rsid w:val="00995855"/>
    <w:pPr>
      <w:suppressAutoHyphens/>
      <w:spacing w:after="0" w:line="240" w:lineRule="auto"/>
    </w:pPr>
    <w:rPr>
      <w:rFonts w:ascii="Courier New" w:eastAsia="Times New Roman" w:hAnsi="Courier New" w:cs="Times New Roman"/>
      <w:sz w:val="20"/>
      <w:szCs w:val="20"/>
      <w:lang w:eastAsia="en-GB"/>
    </w:rPr>
  </w:style>
  <w:style w:type="character" w:customStyle="1" w:styleId="PlainTextChar1">
    <w:name w:val="Plain Text Char1"/>
    <w:basedOn w:val="DefaultParagraphFont"/>
    <w:link w:val="PlainText"/>
    <w:uiPriority w:val="99"/>
    <w:semiHidden/>
    <w:locked/>
    <w:rsid w:val="00995855"/>
    <w:rPr>
      <w:rFonts w:ascii="Courier New" w:eastAsia="Times New Roman" w:hAnsi="Courier New" w:cs="Times New Roman"/>
      <w:color w:val="404040" w:themeColor="text1" w:themeTint="BF"/>
      <w:sz w:val="20"/>
      <w:szCs w:val="20"/>
      <w:lang w:eastAsia="en-GB"/>
    </w:rPr>
  </w:style>
  <w:style w:type="character" w:customStyle="1" w:styleId="PlainTextChar">
    <w:name w:val="Plain Text Char"/>
    <w:basedOn w:val="DefaultParagraphFont"/>
    <w:uiPriority w:val="99"/>
    <w:semiHidden/>
    <w:rsid w:val="00995855"/>
    <w:rPr>
      <w:rFonts w:ascii="Consolas" w:hAnsi="Consolas" w:cstheme="minorBidi"/>
      <w:color w:val="404040" w:themeColor="text1" w:themeTint="BF"/>
      <w:sz w:val="21"/>
      <w:szCs w:val="21"/>
    </w:rPr>
  </w:style>
  <w:style w:type="character" w:customStyle="1" w:styleId="E-mailSignatureChar">
    <w:name w:val="E-mail Signature Char"/>
    <w:basedOn w:val="DefaultParagraphFont"/>
    <w:link w:val="E-mailSignature"/>
    <w:uiPriority w:val="99"/>
    <w:semiHidden/>
    <w:rsid w:val="00995855"/>
    <w:rPr>
      <w:rFonts w:eastAsia="Times New Roman" w:cs="Times New Roman"/>
      <w:sz w:val="20"/>
      <w:szCs w:val="20"/>
      <w:lang w:eastAsia="en-GB"/>
    </w:rPr>
  </w:style>
  <w:style w:type="paragraph" w:styleId="E-mailSignature">
    <w:name w:val="E-mail Signature"/>
    <w:basedOn w:val="Normal"/>
    <w:link w:val="E-mailSignatureChar"/>
    <w:uiPriority w:val="99"/>
    <w:semiHidden/>
    <w:unhideWhenUsed/>
    <w:rsid w:val="00995855"/>
    <w:pPr>
      <w:suppressAutoHyphens/>
      <w:spacing w:after="0" w:line="240" w:lineRule="auto"/>
    </w:pPr>
    <w:rPr>
      <w:rFonts w:ascii="Arial" w:eastAsia="Times New Roman" w:hAnsi="Arial" w:cs="Times New Roman"/>
      <w:color w:val="auto"/>
      <w:sz w:val="20"/>
      <w:szCs w:val="20"/>
      <w:lang w:eastAsia="en-GB"/>
    </w:rPr>
  </w:style>
  <w:style w:type="character" w:customStyle="1" w:styleId="E-mailSignatureChar1">
    <w:name w:val="E-mail Signature Char1"/>
    <w:basedOn w:val="DefaultParagraphFont"/>
    <w:uiPriority w:val="99"/>
    <w:semiHidden/>
    <w:rsid w:val="00995855"/>
    <w:rPr>
      <w:rFonts w:ascii="Franklin Gothic Book" w:hAnsi="Franklin Gothic Book" w:cstheme="minorBidi"/>
      <w:color w:val="404040" w:themeColor="text1" w:themeTint="BF"/>
      <w:sz w:val="22"/>
      <w:szCs w:val="22"/>
    </w:rPr>
  </w:style>
  <w:style w:type="character" w:customStyle="1" w:styleId="CommentSubjectChar">
    <w:name w:val="Comment Subject Char"/>
    <w:basedOn w:val="CommentTextChar"/>
    <w:link w:val="CommentSubject"/>
    <w:uiPriority w:val="99"/>
    <w:semiHidden/>
    <w:rsid w:val="00995855"/>
    <w:rPr>
      <w:rFonts w:eastAsia="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995855"/>
    <w:rPr>
      <w:b/>
      <w:bCs/>
    </w:rPr>
  </w:style>
  <w:style w:type="character" w:customStyle="1" w:styleId="CommentSubjectChar1">
    <w:name w:val="Comment Subject Char1"/>
    <w:basedOn w:val="CommentTextChar1"/>
    <w:uiPriority w:val="99"/>
    <w:semiHidden/>
    <w:rsid w:val="00995855"/>
    <w:rPr>
      <w:rFonts w:ascii="Franklin Gothic Book" w:hAnsi="Franklin Gothic Book" w:cstheme="minorBidi"/>
      <w:b/>
      <w:bCs/>
      <w:color w:val="404040" w:themeColor="text1" w:themeTint="BF"/>
      <w:sz w:val="20"/>
      <w:szCs w:val="20"/>
    </w:rPr>
  </w:style>
  <w:style w:type="character" w:customStyle="1" w:styleId="BalloonTextChar">
    <w:name w:val="Balloon Text Char"/>
    <w:basedOn w:val="DefaultParagraphFont"/>
    <w:link w:val="BalloonText"/>
    <w:uiPriority w:val="99"/>
    <w:semiHidden/>
    <w:rsid w:val="00995855"/>
    <w:rPr>
      <w:rFonts w:ascii="Tahoma" w:eastAsia="Times New Roman" w:hAnsi="Tahoma" w:cs="Syntax-Roman"/>
      <w:sz w:val="16"/>
      <w:szCs w:val="16"/>
      <w:lang w:eastAsia="en-GB"/>
    </w:rPr>
  </w:style>
  <w:style w:type="paragraph" w:styleId="BalloonText">
    <w:name w:val="Balloon Text"/>
    <w:basedOn w:val="Normal"/>
    <w:link w:val="BalloonTextChar"/>
    <w:uiPriority w:val="99"/>
    <w:semiHidden/>
    <w:unhideWhenUsed/>
    <w:rsid w:val="00995855"/>
    <w:pPr>
      <w:suppressAutoHyphens/>
      <w:spacing w:after="0" w:line="240" w:lineRule="auto"/>
    </w:pPr>
    <w:rPr>
      <w:rFonts w:ascii="Tahoma" w:eastAsia="Times New Roman" w:hAnsi="Tahoma" w:cs="Syntax-Roman"/>
      <w:color w:val="auto"/>
      <w:sz w:val="16"/>
      <w:szCs w:val="16"/>
      <w:lang w:eastAsia="en-GB"/>
    </w:rPr>
  </w:style>
  <w:style w:type="character" w:customStyle="1" w:styleId="BalloonTextChar1">
    <w:name w:val="Balloon Text Char1"/>
    <w:basedOn w:val="DefaultParagraphFont"/>
    <w:uiPriority w:val="99"/>
    <w:semiHidden/>
    <w:rsid w:val="00995855"/>
    <w:rPr>
      <w:rFonts w:ascii="Segoe UI" w:hAnsi="Segoe UI" w:cs="Segoe UI"/>
      <w:color w:val="404040" w:themeColor="text1" w:themeTint="BF"/>
      <w:sz w:val="18"/>
      <w:szCs w:val="18"/>
    </w:rPr>
  </w:style>
  <w:style w:type="character" w:customStyle="1" w:styleId="FIGUREChar">
    <w:name w:val="FIGURE Char"/>
    <w:link w:val="FIGURE"/>
    <w:uiPriority w:val="99"/>
    <w:locked/>
    <w:rsid w:val="00995855"/>
    <w:rPr>
      <w:b/>
    </w:rPr>
  </w:style>
  <w:style w:type="paragraph" w:customStyle="1" w:styleId="FIGURE">
    <w:name w:val="FIGURE"/>
    <w:basedOn w:val="Normal"/>
    <w:next w:val="FIGURES"/>
    <w:link w:val="FIGUREChar"/>
    <w:uiPriority w:val="99"/>
    <w:rsid w:val="00995855"/>
    <w:pPr>
      <w:suppressAutoHyphens/>
      <w:spacing w:after="0" w:line="240" w:lineRule="auto"/>
    </w:pPr>
    <w:rPr>
      <w:rFonts w:ascii="Arial" w:hAnsi="Arial" w:cs="Arial"/>
      <w:b/>
      <w:color w:val="auto"/>
      <w:sz w:val="24"/>
      <w:szCs w:val="24"/>
    </w:rPr>
  </w:style>
  <w:style w:type="paragraph" w:customStyle="1" w:styleId="FIGURES">
    <w:name w:val="FIGURES"/>
    <w:basedOn w:val="FIGURE"/>
    <w:next w:val="TABLES"/>
    <w:uiPriority w:val="99"/>
    <w:qFormat/>
    <w:rsid w:val="00995855"/>
  </w:style>
  <w:style w:type="paragraph" w:customStyle="1" w:styleId="TABLES">
    <w:name w:val="TABLES"/>
    <w:basedOn w:val="Heading8"/>
    <w:autoRedefine/>
    <w:uiPriority w:val="99"/>
    <w:qFormat/>
    <w:rsid w:val="00995855"/>
    <w:pPr>
      <w:keepNext/>
      <w:spacing w:before="0" w:after="0" w:line="260" w:lineRule="exact"/>
      <w:jc w:val="both"/>
      <w:outlineLvl w:val="9"/>
    </w:pPr>
    <w:rPr>
      <w:rFonts w:ascii="Franklin Gothic Book" w:hAnsi="Franklin Gothic Book" w:cs="Arial"/>
      <w:bCs/>
      <w:i w:val="0"/>
      <w:iCs w:val="0"/>
      <w:sz w:val="22"/>
      <w:szCs w:val="20"/>
    </w:rPr>
  </w:style>
  <w:style w:type="character" w:customStyle="1" w:styleId="z-TopofFormChar">
    <w:name w:val="z-Top of Form Char"/>
    <w:basedOn w:val="DefaultParagraphFont"/>
    <w:link w:val="z-TopofForm"/>
    <w:uiPriority w:val="99"/>
    <w:semiHidden/>
    <w:rsid w:val="00995855"/>
    <w:rPr>
      <w:rFonts w:eastAsia="Times New Roman"/>
      <w:vanish/>
      <w:sz w:val="16"/>
      <w:szCs w:val="16"/>
      <w:lang w:eastAsia="en-GB"/>
    </w:rPr>
  </w:style>
  <w:style w:type="paragraph" w:styleId="z-TopofForm">
    <w:name w:val="HTML Top of Form"/>
    <w:basedOn w:val="Normal"/>
    <w:next w:val="Normal"/>
    <w:link w:val="z-TopofFormChar"/>
    <w:hidden/>
    <w:uiPriority w:val="99"/>
    <w:semiHidden/>
    <w:unhideWhenUsed/>
    <w:rsid w:val="00995855"/>
    <w:pPr>
      <w:pBdr>
        <w:bottom w:val="single" w:sz="6" w:space="1" w:color="auto"/>
      </w:pBdr>
      <w:suppressAutoHyphens/>
      <w:spacing w:after="0" w:line="240" w:lineRule="auto"/>
      <w:jc w:val="center"/>
    </w:pPr>
    <w:rPr>
      <w:rFonts w:ascii="Arial" w:eastAsia="Times New Roman" w:hAnsi="Arial" w:cs="Arial"/>
      <w:vanish/>
      <w:color w:val="auto"/>
      <w:sz w:val="16"/>
      <w:szCs w:val="16"/>
      <w:lang w:eastAsia="en-GB"/>
    </w:rPr>
  </w:style>
  <w:style w:type="character" w:customStyle="1" w:styleId="z-TopofFormChar1">
    <w:name w:val="z-Top of Form Char1"/>
    <w:basedOn w:val="DefaultParagraphFont"/>
    <w:uiPriority w:val="99"/>
    <w:semiHidden/>
    <w:rsid w:val="00995855"/>
    <w:rPr>
      <w:vanish/>
      <w:color w:val="404040" w:themeColor="text1" w:themeTint="BF"/>
      <w:sz w:val="16"/>
      <w:szCs w:val="16"/>
    </w:rPr>
  </w:style>
  <w:style w:type="character" w:customStyle="1" w:styleId="z-BottomofFormChar">
    <w:name w:val="z-Bottom of Form Char"/>
    <w:basedOn w:val="DefaultParagraphFont"/>
    <w:link w:val="z-BottomofForm"/>
    <w:uiPriority w:val="99"/>
    <w:semiHidden/>
    <w:rsid w:val="00995855"/>
    <w:rPr>
      <w:rFonts w:eastAsia="Times New Roman"/>
      <w:vanish/>
      <w:sz w:val="16"/>
      <w:szCs w:val="16"/>
      <w:lang w:eastAsia="en-GB"/>
    </w:rPr>
  </w:style>
  <w:style w:type="paragraph" w:styleId="z-BottomofForm">
    <w:name w:val="HTML Bottom of Form"/>
    <w:basedOn w:val="Normal"/>
    <w:next w:val="Normal"/>
    <w:link w:val="z-BottomofFormChar"/>
    <w:hidden/>
    <w:uiPriority w:val="99"/>
    <w:semiHidden/>
    <w:unhideWhenUsed/>
    <w:rsid w:val="00995855"/>
    <w:pPr>
      <w:pBdr>
        <w:top w:val="single" w:sz="6" w:space="1" w:color="auto"/>
      </w:pBdr>
      <w:suppressAutoHyphens/>
      <w:spacing w:after="0" w:line="240" w:lineRule="auto"/>
      <w:jc w:val="center"/>
    </w:pPr>
    <w:rPr>
      <w:rFonts w:ascii="Arial" w:eastAsia="Times New Roman" w:hAnsi="Arial" w:cs="Arial"/>
      <w:vanish/>
      <w:color w:val="auto"/>
      <w:sz w:val="16"/>
      <w:szCs w:val="16"/>
      <w:lang w:eastAsia="en-GB"/>
    </w:rPr>
  </w:style>
  <w:style w:type="character" w:customStyle="1" w:styleId="z-BottomofFormChar1">
    <w:name w:val="z-Bottom of Form Char1"/>
    <w:basedOn w:val="DefaultParagraphFont"/>
    <w:uiPriority w:val="99"/>
    <w:semiHidden/>
    <w:rsid w:val="00995855"/>
    <w:rPr>
      <w:vanish/>
      <w:color w:val="404040" w:themeColor="text1" w:themeTint="BF"/>
      <w:sz w:val="16"/>
      <w:szCs w:val="16"/>
    </w:rPr>
  </w:style>
  <w:style w:type="character" w:styleId="Hyperlink">
    <w:name w:val="Hyperlink"/>
    <w:uiPriority w:val="99"/>
    <w:unhideWhenUsed/>
    <w:rsid w:val="00995855"/>
    <w:rPr>
      <w:color w:val="0000FF"/>
      <w:u w:val="single"/>
    </w:rPr>
  </w:style>
  <w:style w:type="paragraph" w:styleId="TOC1">
    <w:name w:val="toc 1"/>
    <w:basedOn w:val="Normal"/>
    <w:next w:val="Normal"/>
    <w:autoRedefine/>
    <w:uiPriority w:val="39"/>
    <w:unhideWhenUsed/>
    <w:rsid w:val="00995855"/>
    <w:pPr>
      <w:tabs>
        <w:tab w:val="right" w:leader="dot" w:pos="14011"/>
      </w:tabs>
      <w:suppressAutoHyphens/>
      <w:spacing w:after="120" w:line="240" w:lineRule="auto"/>
      <w:ind w:left="284" w:hanging="284"/>
      <w:jc w:val="both"/>
    </w:pPr>
    <w:rPr>
      <w:rFonts w:eastAsia="Times New Roman" w:cs="Times New Roman"/>
      <w:sz w:val="20"/>
      <w:szCs w:val="20"/>
      <w:lang w:eastAsia="en-GB"/>
    </w:rPr>
  </w:style>
  <w:style w:type="paragraph" w:styleId="TOC2">
    <w:name w:val="toc 2"/>
    <w:basedOn w:val="Normal"/>
    <w:next w:val="Normal"/>
    <w:autoRedefine/>
    <w:uiPriority w:val="39"/>
    <w:unhideWhenUsed/>
    <w:rsid w:val="00995855"/>
    <w:pPr>
      <w:tabs>
        <w:tab w:val="right" w:leader="dot" w:pos="13892"/>
      </w:tabs>
      <w:suppressAutoHyphens/>
      <w:spacing w:after="0" w:line="360" w:lineRule="auto"/>
      <w:ind w:left="200"/>
      <w:jc w:val="both"/>
    </w:pPr>
    <w:rPr>
      <w:rFonts w:ascii="Arial" w:eastAsia="Times New Roman" w:hAnsi="Arial" w:cs="Times New Roman"/>
      <w:sz w:val="20"/>
      <w:szCs w:val="20"/>
      <w:lang w:eastAsia="en-GB"/>
    </w:rPr>
  </w:style>
  <w:style w:type="paragraph" w:styleId="TOC3">
    <w:name w:val="toc 3"/>
    <w:basedOn w:val="Normal"/>
    <w:next w:val="Normal"/>
    <w:autoRedefine/>
    <w:uiPriority w:val="39"/>
    <w:unhideWhenUsed/>
    <w:rsid w:val="00995855"/>
    <w:pPr>
      <w:tabs>
        <w:tab w:val="left" w:pos="993"/>
        <w:tab w:val="right" w:leader="dot" w:pos="13892"/>
      </w:tabs>
      <w:suppressAutoHyphens/>
      <w:spacing w:after="0" w:line="360" w:lineRule="auto"/>
      <w:ind w:left="284"/>
      <w:jc w:val="both"/>
    </w:pPr>
    <w:rPr>
      <w:rFonts w:ascii="Arial" w:eastAsia="Times New Roman" w:hAnsi="Arial" w:cs="Times New Roman"/>
      <w:sz w:val="20"/>
      <w:szCs w:val="20"/>
      <w:lang w:eastAsia="en-GB"/>
    </w:rPr>
  </w:style>
  <w:style w:type="paragraph" w:styleId="ListParagraph">
    <w:name w:val="List Paragraph"/>
    <w:basedOn w:val="Normal"/>
    <w:uiPriority w:val="34"/>
    <w:qFormat/>
    <w:rsid w:val="00995855"/>
    <w:pPr>
      <w:suppressAutoHyphens/>
      <w:spacing w:after="0" w:line="240" w:lineRule="auto"/>
      <w:ind w:left="720"/>
    </w:pPr>
    <w:rPr>
      <w:rFonts w:eastAsia="Times New Roman" w:cs="Times New Roman"/>
      <w:szCs w:val="20"/>
      <w:lang w:eastAsia="en-GB"/>
    </w:rPr>
  </w:style>
  <w:style w:type="table" w:styleId="TableGrid">
    <w:name w:val="Table Grid"/>
    <w:basedOn w:val="TableNormal"/>
    <w:uiPriority w:val="39"/>
    <w:rsid w:val="009958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58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otnoteReference">
    <w:name w:val="footnote reference"/>
    <w:basedOn w:val="DefaultParagraphFont"/>
    <w:uiPriority w:val="99"/>
    <w:unhideWhenUsed/>
    <w:rsid w:val="00995855"/>
    <w:rPr>
      <w:vertAlign w:val="superscript"/>
    </w:rPr>
  </w:style>
  <w:style w:type="paragraph" w:styleId="TOC4">
    <w:name w:val="toc 4"/>
    <w:basedOn w:val="Normal"/>
    <w:next w:val="Normal"/>
    <w:autoRedefine/>
    <w:uiPriority w:val="39"/>
    <w:unhideWhenUsed/>
    <w:rsid w:val="00995855"/>
    <w:pPr>
      <w:spacing w:after="100"/>
      <w:ind w:left="660"/>
    </w:pPr>
  </w:style>
  <w:style w:type="paragraph" w:customStyle="1" w:styleId="small">
    <w:name w:val="small"/>
    <w:basedOn w:val="Normal"/>
    <w:rsid w:val="009958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95855"/>
    <w:rPr>
      <w:sz w:val="16"/>
      <w:szCs w:val="16"/>
    </w:rPr>
  </w:style>
  <w:style w:type="paragraph" w:customStyle="1" w:styleId="msonormal0">
    <w:name w:val="msonormal"/>
    <w:basedOn w:val="Normal"/>
    <w:rsid w:val="0099585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xl65">
    <w:name w:val="xl65"/>
    <w:basedOn w:val="Normal"/>
    <w:rsid w:val="00995855"/>
    <w:pPr>
      <w:spacing w:before="100" w:beforeAutospacing="1" w:after="100" w:afterAutospacing="1" w:line="240" w:lineRule="auto"/>
    </w:pPr>
    <w:rPr>
      <w:rFonts w:eastAsia="Times New Roman" w:cs="Times New Roman"/>
      <w:color w:val="auto"/>
      <w:sz w:val="24"/>
      <w:szCs w:val="24"/>
      <w:lang w:eastAsia="en-GB"/>
    </w:rPr>
  </w:style>
  <w:style w:type="paragraph" w:customStyle="1" w:styleId="xl66">
    <w:name w:val="xl66"/>
    <w:basedOn w:val="Normal"/>
    <w:rsid w:val="00995855"/>
    <w:pPr>
      <w:spacing w:before="100" w:beforeAutospacing="1" w:after="100" w:afterAutospacing="1" w:line="240" w:lineRule="auto"/>
    </w:pPr>
    <w:rPr>
      <w:rFonts w:eastAsia="Times New Roman" w:cs="Times New Roman"/>
      <w:color w:val="auto"/>
      <w:sz w:val="24"/>
      <w:szCs w:val="24"/>
      <w:lang w:eastAsia="en-GB"/>
    </w:rPr>
  </w:style>
  <w:style w:type="paragraph" w:customStyle="1" w:styleId="xl67">
    <w:name w:val="xl67"/>
    <w:basedOn w:val="Normal"/>
    <w:rsid w:val="00995855"/>
    <w:pPr>
      <w:pBdr>
        <w:left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68">
    <w:name w:val="xl68"/>
    <w:basedOn w:val="Normal"/>
    <w:rsid w:val="00995855"/>
    <w:pP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69">
    <w:name w:val="xl69"/>
    <w:basedOn w:val="Normal"/>
    <w:rsid w:val="00995855"/>
    <w:pP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70">
    <w:name w:val="xl70"/>
    <w:basedOn w:val="Normal"/>
    <w:rsid w:val="00995855"/>
    <w:pPr>
      <w:pBdr>
        <w:right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71">
    <w:name w:val="xl71"/>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72">
    <w:name w:val="xl72"/>
    <w:basedOn w:val="Normal"/>
    <w:rsid w:val="00995855"/>
    <w:pP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73">
    <w:name w:val="xl73"/>
    <w:basedOn w:val="Normal"/>
    <w:rsid w:val="00995855"/>
    <w:pPr>
      <w:pBdr>
        <w:left w:val="single" w:sz="4" w:space="0" w:color="auto"/>
      </w:pBdr>
      <w:spacing w:before="100" w:beforeAutospacing="1" w:after="100" w:afterAutospacing="1" w:line="240" w:lineRule="auto"/>
    </w:pPr>
    <w:rPr>
      <w:rFonts w:eastAsia="Times New Roman" w:cs="Times New Roman"/>
      <w:color w:val="auto"/>
      <w:sz w:val="24"/>
      <w:szCs w:val="24"/>
      <w:lang w:eastAsia="en-GB"/>
    </w:rPr>
  </w:style>
  <w:style w:type="paragraph" w:customStyle="1" w:styleId="xl74">
    <w:name w:val="xl74"/>
    <w:basedOn w:val="Normal"/>
    <w:rsid w:val="00995855"/>
    <w:pPr>
      <w:pBdr>
        <w:left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75">
    <w:name w:val="xl75"/>
    <w:basedOn w:val="Normal"/>
    <w:rsid w:val="0099585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color w:val="auto"/>
      <w:sz w:val="24"/>
      <w:szCs w:val="24"/>
      <w:lang w:eastAsia="en-GB"/>
    </w:rPr>
  </w:style>
  <w:style w:type="paragraph" w:customStyle="1" w:styleId="xl76">
    <w:name w:val="xl76"/>
    <w:basedOn w:val="Normal"/>
    <w:rsid w:val="00995855"/>
    <w:pPr>
      <w:pBdr>
        <w:top w:val="single" w:sz="4" w:space="0" w:color="auto"/>
        <w:bottom w:val="single" w:sz="4" w:space="0" w:color="auto"/>
      </w:pBdr>
      <w:spacing w:before="100" w:beforeAutospacing="1" w:after="100" w:afterAutospacing="1" w:line="240" w:lineRule="auto"/>
      <w:jc w:val="center"/>
    </w:pPr>
    <w:rPr>
      <w:rFonts w:eastAsia="Times New Roman" w:cs="Times New Roman"/>
      <w:b/>
      <w:bCs/>
      <w:color w:val="auto"/>
      <w:sz w:val="24"/>
      <w:szCs w:val="24"/>
      <w:lang w:eastAsia="en-GB"/>
    </w:rPr>
  </w:style>
  <w:style w:type="paragraph" w:customStyle="1" w:styleId="xl77">
    <w:name w:val="xl77"/>
    <w:basedOn w:val="Normal"/>
    <w:rsid w:val="00995855"/>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auto"/>
      <w:sz w:val="24"/>
      <w:szCs w:val="24"/>
      <w:lang w:eastAsia="en-GB"/>
    </w:rPr>
  </w:style>
  <w:style w:type="paragraph" w:customStyle="1" w:styleId="xl78">
    <w:name w:val="xl78"/>
    <w:basedOn w:val="Normal"/>
    <w:rsid w:val="00995855"/>
    <w:pPr>
      <w:pBdr>
        <w:right w:val="single" w:sz="4" w:space="0" w:color="auto"/>
      </w:pBdr>
      <w:spacing w:before="100" w:beforeAutospacing="1" w:after="100" w:afterAutospacing="1" w:line="240" w:lineRule="auto"/>
    </w:pPr>
    <w:rPr>
      <w:rFonts w:eastAsia="Times New Roman" w:cs="Times New Roman"/>
      <w:color w:val="auto"/>
      <w:sz w:val="24"/>
      <w:szCs w:val="24"/>
      <w:lang w:eastAsia="en-GB"/>
    </w:rPr>
  </w:style>
  <w:style w:type="paragraph" w:customStyle="1" w:styleId="xl79">
    <w:name w:val="xl79"/>
    <w:basedOn w:val="Normal"/>
    <w:rsid w:val="00995855"/>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auto"/>
      <w:sz w:val="24"/>
      <w:szCs w:val="24"/>
      <w:lang w:eastAsia="en-GB"/>
    </w:rPr>
  </w:style>
  <w:style w:type="paragraph" w:customStyle="1" w:styleId="xl80">
    <w:name w:val="xl80"/>
    <w:basedOn w:val="Normal"/>
    <w:rsid w:val="0099585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auto"/>
      <w:sz w:val="24"/>
      <w:szCs w:val="24"/>
      <w:lang w:eastAsia="en-GB"/>
    </w:rPr>
  </w:style>
  <w:style w:type="paragraph" w:customStyle="1" w:styleId="xl81">
    <w:name w:val="xl81"/>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2">
    <w:name w:val="xl82"/>
    <w:basedOn w:val="Normal"/>
    <w:rsid w:val="00995855"/>
    <w:pPr>
      <w:pBdr>
        <w:top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3">
    <w:name w:val="xl83"/>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4">
    <w:name w:val="xl84"/>
    <w:basedOn w:val="Normal"/>
    <w:rsid w:val="00995855"/>
    <w:pPr>
      <w:pBdr>
        <w:left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5">
    <w:name w:val="xl85"/>
    <w:basedOn w:val="Normal"/>
    <w:rsid w:val="00995855"/>
    <w:pP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6">
    <w:name w:val="xl86"/>
    <w:basedOn w:val="Normal"/>
    <w:rsid w:val="00995855"/>
    <w:pPr>
      <w:pBdr>
        <w:right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87">
    <w:name w:val="xl87"/>
    <w:basedOn w:val="Normal"/>
    <w:rsid w:val="00995855"/>
    <w:pPr>
      <w:spacing w:before="100" w:beforeAutospacing="1" w:after="100" w:afterAutospacing="1" w:line="240" w:lineRule="auto"/>
      <w:jc w:val="center"/>
      <w:textAlignment w:val="top"/>
    </w:pPr>
    <w:rPr>
      <w:rFonts w:eastAsia="Times New Roman" w:cs="Times New Roman"/>
      <w:color w:val="7030A0"/>
      <w:sz w:val="24"/>
      <w:szCs w:val="24"/>
      <w:lang w:eastAsia="en-GB"/>
    </w:rPr>
  </w:style>
  <w:style w:type="paragraph" w:customStyle="1" w:styleId="xl88">
    <w:name w:val="xl88"/>
    <w:basedOn w:val="Normal"/>
    <w:rsid w:val="00995855"/>
    <w:pPr>
      <w:pBdr>
        <w:right w:val="single" w:sz="4" w:space="0" w:color="auto"/>
      </w:pBdr>
      <w:spacing w:before="100" w:beforeAutospacing="1" w:after="100" w:afterAutospacing="1" w:line="240" w:lineRule="auto"/>
      <w:jc w:val="center"/>
      <w:textAlignment w:val="top"/>
    </w:pPr>
    <w:rPr>
      <w:rFonts w:eastAsia="Times New Roman" w:cs="Times New Roman"/>
      <w:color w:val="7030A0"/>
      <w:sz w:val="24"/>
      <w:szCs w:val="24"/>
      <w:lang w:eastAsia="en-GB"/>
    </w:rPr>
  </w:style>
  <w:style w:type="paragraph" w:customStyle="1" w:styleId="xl89">
    <w:name w:val="xl89"/>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90">
    <w:name w:val="xl90"/>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91">
    <w:name w:val="xl91"/>
    <w:basedOn w:val="Normal"/>
    <w:rsid w:val="00995855"/>
    <w:pPr>
      <w:pBdr>
        <w:bottom w:val="single" w:sz="4" w:space="0" w:color="auto"/>
        <w:right w:val="single" w:sz="4" w:space="0" w:color="auto"/>
      </w:pBdr>
      <w:spacing w:before="100" w:beforeAutospacing="1" w:after="100" w:afterAutospacing="1" w:line="240" w:lineRule="auto"/>
      <w:jc w:val="center"/>
    </w:pPr>
    <w:rPr>
      <w:rFonts w:eastAsia="Times New Roman" w:cs="Times New Roman"/>
      <w:color w:val="7030A0"/>
      <w:sz w:val="24"/>
      <w:szCs w:val="24"/>
      <w:lang w:eastAsia="en-GB"/>
    </w:rPr>
  </w:style>
  <w:style w:type="paragraph" w:customStyle="1" w:styleId="xl92">
    <w:name w:val="xl92"/>
    <w:basedOn w:val="Normal"/>
    <w:rsid w:val="00995855"/>
    <w:pPr>
      <w:pBdr>
        <w:left w:val="single" w:sz="4" w:space="0" w:color="auto"/>
      </w:pBdr>
      <w:shd w:val="clear" w:color="000000" w:fill="3A3838"/>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93">
    <w:name w:val="xl93"/>
    <w:basedOn w:val="Normal"/>
    <w:rsid w:val="00995855"/>
    <w:pPr>
      <w:pBdr>
        <w:left w:val="single" w:sz="4" w:space="0" w:color="auto"/>
        <w:right w:val="single" w:sz="4" w:space="0" w:color="auto"/>
      </w:pBdr>
      <w:shd w:val="clear" w:color="000000" w:fill="3A3838"/>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94">
    <w:name w:val="xl94"/>
    <w:basedOn w:val="Normal"/>
    <w:rsid w:val="00995855"/>
    <w:pPr>
      <w:shd w:val="clear" w:color="000000" w:fill="3A3838"/>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95">
    <w:name w:val="xl95"/>
    <w:basedOn w:val="Normal"/>
    <w:rsid w:val="00995855"/>
    <w:pPr>
      <w:pBdr>
        <w:left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96">
    <w:name w:val="xl96"/>
    <w:basedOn w:val="Normal"/>
    <w:rsid w:val="00995855"/>
    <w:pPr>
      <w:spacing w:before="100" w:beforeAutospacing="1" w:after="100" w:afterAutospacing="1" w:line="240" w:lineRule="auto"/>
      <w:jc w:val="center"/>
    </w:pPr>
    <w:rPr>
      <w:rFonts w:eastAsia="Times New Roman" w:cs="Times New Roman"/>
      <w:color w:val="548235"/>
      <w:sz w:val="24"/>
      <w:szCs w:val="24"/>
      <w:lang w:eastAsia="en-GB"/>
    </w:rPr>
  </w:style>
  <w:style w:type="paragraph" w:customStyle="1" w:styleId="xl97">
    <w:name w:val="xl97"/>
    <w:basedOn w:val="Normal"/>
    <w:rsid w:val="00995855"/>
    <w:pP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98">
    <w:name w:val="xl98"/>
    <w:basedOn w:val="Normal"/>
    <w:rsid w:val="00995855"/>
    <w:pPr>
      <w:pBdr>
        <w:right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99">
    <w:name w:val="xl99"/>
    <w:basedOn w:val="Normal"/>
    <w:rsid w:val="00995855"/>
    <w:pPr>
      <w:pBdr>
        <w:right w:val="single" w:sz="4" w:space="0" w:color="auto"/>
      </w:pBdr>
      <w:spacing w:before="100" w:beforeAutospacing="1" w:after="100" w:afterAutospacing="1" w:line="240" w:lineRule="auto"/>
      <w:jc w:val="center"/>
    </w:pPr>
    <w:rPr>
      <w:rFonts w:eastAsia="Times New Roman" w:cs="Times New Roman"/>
      <w:color w:val="548235"/>
      <w:sz w:val="24"/>
      <w:szCs w:val="24"/>
      <w:lang w:eastAsia="en-GB"/>
    </w:rPr>
  </w:style>
  <w:style w:type="paragraph" w:customStyle="1" w:styleId="xl100">
    <w:name w:val="xl100"/>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101">
    <w:name w:val="xl101"/>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102">
    <w:name w:val="xl102"/>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3">
    <w:name w:val="xl103"/>
    <w:basedOn w:val="Normal"/>
    <w:rsid w:val="00995855"/>
    <w:pPr>
      <w:pBdr>
        <w:top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104">
    <w:name w:val="xl104"/>
    <w:basedOn w:val="Normal"/>
    <w:rsid w:val="00995855"/>
    <w:pPr>
      <w:pBdr>
        <w:top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5">
    <w:name w:val="xl105"/>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6">
    <w:name w:val="xl106"/>
    <w:basedOn w:val="Normal"/>
    <w:rsid w:val="00995855"/>
    <w:pPr>
      <w:pBdr>
        <w:left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7">
    <w:name w:val="xl107"/>
    <w:basedOn w:val="Normal"/>
    <w:rsid w:val="00995855"/>
    <w:pP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8">
    <w:name w:val="xl108"/>
    <w:basedOn w:val="Normal"/>
    <w:rsid w:val="00995855"/>
    <w:pPr>
      <w:pBdr>
        <w:right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09">
    <w:name w:val="xl109"/>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10">
    <w:name w:val="xl110"/>
    <w:basedOn w:val="Normal"/>
    <w:rsid w:val="00995855"/>
    <w:pPr>
      <w:pBdr>
        <w:bottom w:val="single" w:sz="4" w:space="0" w:color="auto"/>
        <w:right w:val="single" w:sz="4" w:space="0" w:color="auto"/>
      </w:pBdr>
      <w:spacing w:before="100" w:beforeAutospacing="1" w:after="100" w:afterAutospacing="1" w:line="240" w:lineRule="auto"/>
      <w:jc w:val="center"/>
    </w:pPr>
    <w:rPr>
      <w:rFonts w:eastAsia="Times New Roman" w:cs="Times New Roman"/>
      <w:color w:val="4472C4"/>
      <w:sz w:val="24"/>
      <w:szCs w:val="24"/>
      <w:lang w:eastAsia="en-GB"/>
    </w:rPr>
  </w:style>
  <w:style w:type="paragraph" w:customStyle="1" w:styleId="xl111">
    <w:name w:val="xl111"/>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2">
    <w:name w:val="xl112"/>
    <w:basedOn w:val="Normal"/>
    <w:rsid w:val="00995855"/>
    <w:pPr>
      <w:pBdr>
        <w:top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3">
    <w:name w:val="xl113"/>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4">
    <w:name w:val="xl114"/>
    <w:basedOn w:val="Normal"/>
    <w:rsid w:val="00995855"/>
    <w:pPr>
      <w:pBdr>
        <w:left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5">
    <w:name w:val="xl115"/>
    <w:basedOn w:val="Normal"/>
    <w:rsid w:val="00995855"/>
    <w:pP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6">
    <w:name w:val="xl116"/>
    <w:basedOn w:val="Normal"/>
    <w:rsid w:val="00995855"/>
    <w:pPr>
      <w:pBdr>
        <w:right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7">
    <w:name w:val="xl117"/>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BF8F00"/>
      <w:sz w:val="24"/>
      <w:szCs w:val="24"/>
      <w:lang w:eastAsia="en-GB"/>
    </w:rPr>
  </w:style>
  <w:style w:type="paragraph" w:customStyle="1" w:styleId="xl118">
    <w:name w:val="xl118"/>
    <w:basedOn w:val="Normal"/>
    <w:rsid w:val="00995855"/>
    <w:pPr>
      <w:pBdr>
        <w:left w:val="single" w:sz="4" w:space="0" w:color="auto"/>
      </w:pBd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19">
    <w:name w:val="xl119"/>
    <w:basedOn w:val="Normal"/>
    <w:rsid w:val="00995855"/>
    <w:pP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20">
    <w:name w:val="xl120"/>
    <w:basedOn w:val="Normal"/>
    <w:rsid w:val="00995855"/>
    <w:pPr>
      <w:pBdr>
        <w:right w:val="single" w:sz="4" w:space="0" w:color="auto"/>
      </w:pBd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21">
    <w:name w:val="xl121"/>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22">
    <w:name w:val="xl122"/>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23">
    <w:name w:val="xl123"/>
    <w:basedOn w:val="Normal"/>
    <w:rsid w:val="00995855"/>
    <w:pPr>
      <w:pBdr>
        <w:bottom w:val="single" w:sz="4" w:space="0" w:color="auto"/>
        <w:right w:val="single" w:sz="4" w:space="0" w:color="auto"/>
      </w:pBdr>
      <w:spacing w:before="100" w:beforeAutospacing="1" w:after="100" w:afterAutospacing="1" w:line="240" w:lineRule="auto"/>
      <w:jc w:val="center"/>
    </w:pPr>
    <w:rPr>
      <w:rFonts w:eastAsia="Times New Roman" w:cs="Times New Roman"/>
      <w:color w:val="757171"/>
      <w:sz w:val="24"/>
      <w:szCs w:val="24"/>
      <w:lang w:eastAsia="en-GB"/>
    </w:rPr>
  </w:style>
  <w:style w:type="paragraph" w:customStyle="1" w:styleId="xl124">
    <w:name w:val="xl124"/>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25">
    <w:name w:val="xl125"/>
    <w:basedOn w:val="Normal"/>
    <w:rsid w:val="00995855"/>
    <w:pPr>
      <w:pBdr>
        <w:top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26">
    <w:name w:val="xl126"/>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27">
    <w:name w:val="xl127"/>
    <w:basedOn w:val="Normal"/>
    <w:rsid w:val="00995855"/>
    <w:pPr>
      <w:pBdr>
        <w:left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28">
    <w:name w:val="xl128"/>
    <w:basedOn w:val="Normal"/>
    <w:rsid w:val="00995855"/>
    <w:pP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29">
    <w:name w:val="xl129"/>
    <w:basedOn w:val="Normal"/>
    <w:rsid w:val="00995855"/>
    <w:pPr>
      <w:pBdr>
        <w:right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30">
    <w:name w:val="xl130"/>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FFC000"/>
      <w:sz w:val="24"/>
      <w:szCs w:val="24"/>
      <w:lang w:eastAsia="en-GB"/>
    </w:rPr>
  </w:style>
  <w:style w:type="paragraph" w:customStyle="1" w:styleId="xl131">
    <w:name w:val="xl131"/>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132">
    <w:name w:val="xl132"/>
    <w:basedOn w:val="Normal"/>
    <w:rsid w:val="00995855"/>
    <w:pPr>
      <w:pBdr>
        <w:top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133">
    <w:name w:val="xl133"/>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134">
    <w:name w:val="xl134"/>
    <w:basedOn w:val="Normal"/>
    <w:rsid w:val="00995855"/>
    <w:pPr>
      <w:pBdr>
        <w:right w:val="single" w:sz="4" w:space="0" w:color="auto"/>
      </w:pBdr>
      <w:spacing w:before="100" w:beforeAutospacing="1" w:after="100" w:afterAutospacing="1" w:line="240" w:lineRule="auto"/>
      <w:jc w:val="center"/>
    </w:pPr>
    <w:rPr>
      <w:rFonts w:eastAsia="Times New Roman" w:cs="Times New Roman"/>
      <w:color w:val="C00000"/>
      <w:sz w:val="24"/>
      <w:szCs w:val="24"/>
      <w:lang w:eastAsia="en-GB"/>
    </w:rPr>
  </w:style>
  <w:style w:type="paragraph" w:customStyle="1" w:styleId="xl135">
    <w:name w:val="xl135"/>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36">
    <w:name w:val="xl136"/>
    <w:basedOn w:val="Normal"/>
    <w:rsid w:val="00995855"/>
    <w:pPr>
      <w:pBdr>
        <w:top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37">
    <w:name w:val="xl137"/>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38">
    <w:name w:val="xl138"/>
    <w:basedOn w:val="Normal"/>
    <w:rsid w:val="00995855"/>
    <w:pPr>
      <w:pBdr>
        <w:right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39">
    <w:name w:val="xl139"/>
    <w:basedOn w:val="Normal"/>
    <w:rsid w:val="00995855"/>
    <w:pPr>
      <w:pBdr>
        <w:left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40">
    <w:name w:val="xl140"/>
    <w:basedOn w:val="Normal"/>
    <w:rsid w:val="00995855"/>
    <w:pP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41">
    <w:name w:val="xl141"/>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305496"/>
      <w:sz w:val="24"/>
      <w:szCs w:val="24"/>
      <w:lang w:eastAsia="en-GB"/>
    </w:rPr>
  </w:style>
  <w:style w:type="paragraph" w:customStyle="1" w:styleId="xl142">
    <w:name w:val="xl142"/>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3">
    <w:name w:val="xl143"/>
    <w:basedOn w:val="Normal"/>
    <w:rsid w:val="00995855"/>
    <w:pPr>
      <w:pBdr>
        <w:top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4">
    <w:name w:val="xl144"/>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5">
    <w:name w:val="xl145"/>
    <w:basedOn w:val="Normal"/>
    <w:rsid w:val="00995855"/>
    <w:pPr>
      <w:pBdr>
        <w:left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6">
    <w:name w:val="xl146"/>
    <w:basedOn w:val="Normal"/>
    <w:rsid w:val="00995855"/>
    <w:pP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7">
    <w:name w:val="xl147"/>
    <w:basedOn w:val="Normal"/>
    <w:rsid w:val="00995855"/>
    <w:pPr>
      <w:pBdr>
        <w:right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48">
    <w:name w:val="xl148"/>
    <w:basedOn w:val="Normal"/>
    <w:rsid w:val="00995855"/>
    <w:pPr>
      <w:pBdr>
        <w:top w:val="single" w:sz="4" w:space="0" w:color="auto"/>
        <w:left w:val="single" w:sz="4" w:space="0" w:color="auto"/>
      </w:pBd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49">
    <w:name w:val="xl149"/>
    <w:basedOn w:val="Normal"/>
    <w:rsid w:val="00995855"/>
    <w:pPr>
      <w:pBdr>
        <w:top w:val="single" w:sz="4" w:space="0" w:color="auto"/>
      </w:pBd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50">
    <w:name w:val="xl150"/>
    <w:basedOn w:val="Normal"/>
    <w:rsid w:val="00995855"/>
    <w:pPr>
      <w:pBdr>
        <w:top w:val="single" w:sz="4" w:space="0" w:color="auto"/>
        <w:right w:val="single" w:sz="4" w:space="0" w:color="auto"/>
      </w:pBd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51">
    <w:name w:val="xl151"/>
    <w:basedOn w:val="Normal"/>
    <w:rsid w:val="00995855"/>
    <w:pPr>
      <w:pBdr>
        <w:left w:val="single" w:sz="4" w:space="0" w:color="auto"/>
      </w:pBd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52">
    <w:name w:val="xl152"/>
    <w:basedOn w:val="Normal"/>
    <w:rsid w:val="00995855"/>
    <w:pP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53">
    <w:name w:val="xl153"/>
    <w:basedOn w:val="Normal"/>
    <w:rsid w:val="00995855"/>
    <w:pPr>
      <w:pBdr>
        <w:right w:val="single" w:sz="4" w:space="0" w:color="auto"/>
      </w:pBdr>
      <w:spacing w:before="100" w:beforeAutospacing="1" w:after="100" w:afterAutospacing="1" w:line="240" w:lineRule="auto"/>
      <w:jc w:val="center"/>
    </w:pPr>
    <w:rPr>
      <w:rFonts w:eastAsia="Times New Roman" w:cs="Times New Roman"/>
      <w:color w:val="990099"/>
      <w:sz w:val="24"/>
      <w:szCs w:val="24"/>
      <w:lang w:eastAsia="en-GB"/>
    </w:rPr>
  </w:style>
  <w:style w:type="paragraph" w:customStyle="1" w:styleId="xl154">
    <w:name w:val="xl154"/>
    <w:basedOn w:val="Normal"/>
    <w:rsid w:val="00995855"/>
    <w:pPr>
      <w:pBdr>
        <w:left w:val="single" w:sz="4" w:space="0" w:color="auto"/>
      </w:pBdr>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55">
    <w:name w:val="xl155"/>
    <w:basedOn w:val="Normal"/>
    <w:rsid w:val="00995855"/>
    <w:pPr>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56">
    <w:name w:val="xl156"/>
    <w:basedOn w:val="Normal"/>
    <w:rsid w:val="00995855"/>
    <w:pPr>
      <w:pBdr>
        <w:right w:val="single" w:sz="4" w:space="0" w:color="auto"/>
      </w:pBdr>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57">
    <w:name w:val="xl157"/>
    <w:basedOn w:val="Normal"/>
    <w:rsid w:val="00995855"/>
    <w:pP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58">
    <w:name w:val="xl158"/>
    <w:basedOn w:val="Normal"/>
    <w:rsid w:val="00995855"/>
    <w:pPr>
      <w:pBdr>
        <w:bottom w:val="single" w:sz="4" w:space="0" w:color="auto"/>
      </w:pBd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59">
    <w:name w:val="xl159"/>
    <w:basedOn w:val="Normal"/>
    <w:rsid w:val="00995855"/>
    <w:pPr>
      <w:pBdr>
        <w:bottom w:val="single" w:sz="4" w:space="0" w:color="auto"/>
        <w:right w:val="single" w:sz="4" w:space="0" w:color="auto"/>
      </w:pBd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60">
    <w:name w:val="xl160"/>
    <w:basedOn w:val="Normal"/>
    <w:rsid w:val="00995855"/>
    <w:pPr>
      <w:pBdr>
        <w:right w:val="single" w:sz="4" w:space="0" w:color="auto"/>
      </w:pBd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61">
    <w:name w:val="xl161"/>
    <w:basedOn w:val="Normal"/>
    <w:rsid w:val="00995855"/>
    <w:pPr>
      <w:pBdr>
        <w:left w:val="single" w:sz="4" w:space="0" w:color="auto"/>
        <w:bottom w:val="single" w:sz="4" w:space="0" w:color="auto"/>
      </w:pBd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62">
    <w:name w:val="xl162"/>
    <w:basedOn w:val="Normal"/>
    <w:rsid w:val="00995855"/>
    <w:pPr>
      <w:pBdr>
        <w:left w:val="single" w:sz="4" w:space="0" w:color="auto"/>
      </w:pBdr>
      <w:shd w:val="clear" w:color="000000" w:fill="000000"/>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63">
    <w:name w:val="xl163"/>
    <w:basedOn w:val="Normal"/>
    <w:rsid w:val="00995855"/>
    <w:pPr>
      <w:pBdr>
        <w:right w:val="single" w:sz="4" w:space="0" w:color="auto"/>
      </w:pBdr>
      <w:spacing w:before="100" w:beforeAutospacing="1" w:after="100" w:afterAutospacing="1" w:line="240" w:lineRule="auto"/>
      <w:jc w:val="center"/>
    </w:pPr>
    <w:rPr>
      <w:rFonts w:eastAsia="Times New Roman" w:cs="Times New Roman"/>
      <w:color w:val="008080"/>
      <w:sz w:val="24"/>
      <w:szCs w:val="24"/>
      <w:lang w:eastAsia="en-GB"/>
    </w:rPr>
  </w:style>
  <w:style w:type="paragraph" w:customStyle="1" w:styleId="xl164">
    <w:name w:val="xl164"/>
    <w:basedOn w:val="Normal"/>
    <w:rsid w:val="00995855"/>
    <w:pPr>
      <w:spacing w:before="100" w:beforeAutospacing="1" w:after="100" w:afterAutospacing="1" w:line="240" w:lineRule="auto"/>
      <w:jc w:val="center"/>
    </w:pPr>
    <w:rPr>
      <w:rFonts w:eastAsia="Times New Roman" w:cs="Times New Roman"/>
      <w:color w:val="FFFFFF"/>
      <w:sz w:val="24"/>
      <w:szCs w:val="24"/>
      <w:lang w:eastAsia="en-GB"/>
    </w:rPr>
  </w:style>
  <w:style w:type="paragraph" w:customStyle="1" w:styleId="xl165">
    <w:name w:val="xl165"/>
    <w:basedOn w:val="Normal"/>
    <w:rsid w:val="00995855"/>
    <w:pPr>
      <w:pBdr>
        <w:top w:val="single" w:sz="4" w:space="0" w:color="auto"/>
        <w:left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66">
    <w:name w:val="xl166"/>
    <w:basedOn w:val="Normal"/>
    <w:rsid w:val="00995855"/>
    <w:pPr>
      <w:pBdr>
        <w:top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67">
    <w:name w:val="xl167"/>
    <w:basedOn w:val="Normal"/>
    <w:rsid w:val="00995855"/>
    <w:pPr>
      <w:pBdr>
        <w:top w:val="single" w:sz="4" w:space="0" w:color="auto"/>
        <w:bottom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68">
    <w:name w:val="xl168"/>
    <w:basedOn w:val="Normal"/>
    <w:rsid w:val="00995855"/>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69">
    <w:name w:val="xl169"/>
    <w:basedOn w:val="Normal"/>
    <w:rsid w:val="00995855"/>
    <w:pPr>
      <w:pBdr>
        <w:left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70">
    <w:name w:val="xl170"/>
    <w:basedOn w:val="Normal"/>
    <w:rsid w:val="00995855"/>
    <w:pP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71">
    <w:name w:val="xl171"/>
    <w:basedOn w:val="Normal"/>
    <w:rsid w:val="00995855"/>
    <w:pPr>
      <w:pBdr>
        <w:right w:val="single" w:sz="4" w:space="0" w:color="auto"/>
      </w:pBdr>
      <w:shd w:val="clear" w:color="000000" w:fill="000000"/>
      <w:spacing w:before="100" w:beforeAutospacing="1" w:after="100" w:afterAutospacing="1" w:line="240" w:lineRule="auto"/>
      <w:jc w:val="center"/>
    </w:pPr>
    <w:rPr>
      <w:rFonts w:eastAsia="Times New Roman" w:cs="Times New Roman"/>
      <w:color w:val="FFFFFF"/>
      <w:sz w:val="28"/>
      <w:szCs w:val="28"/>
      <w:lang w:eastAsia="en-GB"/>
    </w:rPr>
  </w:style>
  <w:style w:type="paragraph" w:customStyle="1" w:styleId="xl172">
    <w:name w:val="xl172"/>
    <w:basedOn w:val="Normal"/>
    <w:rsid w:val="00995855"/>
    <w:pPr>
      <w:pBdr>
        <w:left w:val="single" w:sz="4" w:space="0" w:color="auto"/>
        <w:bottom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173">
    <w:name w:val="xl173"/>
    <w:basedOn w:val="Normal"/>
    <w:rsid w:val="00995855"/>
    <w:pPr>
      <w:pBdr>
        <w:bottom w:val="single" w:sz="4" w:space="0" w:color="auto"/>
      </w:pBdr>
      <w:spacing w:before="100" w:beforeAutospacing="1" w:after="100" w:afterAutospacing="1" w:line="240" w:lineRule="auto"/>
      <w:jc w:val="center"/>
    </w:pPr>
    <w:rPr>
      <w:rFonts w:eastAsia="Times New Roman" w:cs="Times New Roman"/>
      <w:color w:val="auto"/>
      <w:sz w:val="24"/>
      <w:szCs w:val="24"/>
      <w:lang w:eastAsia="en-GB"/>
    </w:rPr>
  </w:style>
  <w:style w:type="paragraph" w:customStyle="1" w:styleId="xl174">
    <w:name w:val="xl174"/>
    <w:basedOn w:val="Normal"/>
    <w:rsid w:val="00995855"/>
    <w:pPr>
      <w:pBdr>
        <w:bottom w:val="single" w:sz="4" w:space="0" w:color="auto"/>
        <w:right w:val="single" w:sz="4" w:space="0" w:color="auto"/>
      </w:pBdr>
      <w:spacing w:before="100" w:beforeAutospacing="1" w:after="100" w:afterAutospacing="1" w:line="240" w:lineRule="auto"/>
    </w:pPr>
    <w:rPr>
      <w:rFonts w:eastAsia="Times New Roman" w:cs="Times New Roman"/>
      <w:color w:val="auto"/>
      <w:sz w:val="24"/>
      <w:szCs w:val="24"/>
      <w:lang w:eastAsia="en-GB"/>
    </w:rPr>
  </w:style>
  <w:style w:type="paragraph" w:customStyle="1" w:styleId="xl175">
    <w:name w:val="xl175"/>
    <w:basedOn w:val="Normal"/>
    <w:rsid w:val="00995855"/>
    <w:pPr>
      <w:pBdr>
        <w:top w:val="single" w:sz="4" w:space="0" w:color="auto"/>
        <w:bottom w:val="single" w:sz="4" w:space="0" w:color="auto"/>
      </w:pBdr>
      <w:spacing w:before="100" w:beforeAutospacing="1" w:after="100" w:afterAutospacing="1" w:line="240" w:lineRule="auto"/>
    </w:pPr>
    <w:rPr>
      <w:rFonts w:eastAsia="Times New Roman" w:cs="Times New Roman"/>
      <w:color w:val="auto"/>
      <w:sz w:val="24"/>
      <w:szCs w:val="24"/>
      <w:lang w:eastAsia="en-GB"/>
    </w:rPr>
  </w:style>
  <w:style w:type="paragraph" w:styleId="Caption">
    <w:name w:val="caption"/>
    <w:basedOn w:val="Normal"/>
    <w:next w:val="Normal"/>
    <w:uiPriority w:val="99"/>
    <w:unhideWhenUsed/>
    <w:qFormat/>
    <w:rsid w:val="00995855"/>
    <w:pPr>
      <w:spacing w:line="240" w:lineRule="auto"/>
    </w:pPr>
    <w:rPr>
      <w:i/>
      <w:iCs/>
      <w:color w:val="1F497D" w:themeColor="text2"/>
      <w:sz w:val="18"/>
      <w:szCs w:val="18"/>
    </w:rPr>
  </w:style>
  <w:style w:type="character" w:customStyle="1" w:styleId="title-text">
    <w:name w:val="title-text"/>
    <w:basedOn w:val="DefaultParagraphFont"/>
    <w:rsid w:val="00995855"/>
  </w:style>
  <w:style w:type="table" w:customStyle="1" w:styleId="TableGrid1">
    <w:name w:val="Table Grid1"/>
    <w:basedOn w:val="TableNormal"/>
    <w:next w:val="TableGrid"/>
    <w:uiPriority w:val="39"/>
    <w:rsid w:val="003C08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420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0EBC"/>
    <w:rPr>
      <w:color w:val="605E5C"/>
      <w:shd w:val="clear" w:color="auto" w:fill="E1DFDD"/>
    </w:rPr>
  </w:style>
  <w:style w:type="table" w:customStyle="1" w:styleId="TableGrid3">
    <w:name w:val="Table Grid3"/>
    <w:basedOn w:val="TableNormal"/>
    <w:next w:val="TableGrid"/>
    <w:uiPriority w:val="59"/>
    <w:rsid w:val="00206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6DB2"/>
    <w:rPr>
      <w:rFonts w:ascii="Franklin Gothic Book" w:hAnsi="Franklin Gothic Book" w:cstheme="minorBidi"/>
      <w:color w:val="404040" w:themeColor="text1" w:themeTint="BF"/>
      <w:sz w:val="22"/>
      <w:szCs w:val="22"/>
    </w:rPr>
  </w:style>
  <w:style w:type="table" w:customStyle="1" w:styleId="TableGrid4">
    <w:name w:val="Table Grid4"/>
    <w:basedOn w:val="TableNormal"/>
    <w:next w:val="TableGrid"/>
    <w:uiPriority w:val="59"/>
    <w:rsid w:val="009F6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D0F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market-sustainability-and--cost-of-care-fund-2022-to-2023-guidance"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market-sustainability-and-fair-cost-of-care-fund-2022-to-2023-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market-sustainability-and--cost-of-care-fund-2022-to-2023-guidanc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063330/Green_Book_2022.pdf" TargetMode="External"/><Relationship Id="rId7" Type="http://schemas.openxmlformats.org/officeDocument/2006/relationships/hyperlink" Target="https://www.gov.uk/government/publications/market-sustainability-and-fair-cost-of-care-fund-2022-to-2023-guidance" TargetMode="External"/><Relationship Id="rId2" Type="http://schemas.openxmlformats.org/officeDocument/2006/relationships/hyperlink" Target="https://www.ons.gov.uk/economy/inflationandpriceindices/datasets/consumerpriceinflation" TargetMode="External"/><Relationship Id="rId1" Type="http://schemas.openxmlformats.org/officeDocument/2006/relationships/hyperlink" Target="https://www.gov.uk/government/publications/market-sustainability-and-fair-cost-of-care-fund-2022-to-2023-guidance" TargetMode="External"/><Relationship Id="rId6" Type="http://schemas.openxmlformats.org/officeDocument/2006/relationships/hyperlink" Target="https://www.gov.uk/government/publications/care-homes-market-study-summary-of-final-report" TargetMode="External"/><Relationship Id="rId5" Type="http://schemas.openxmlformats.org/officeDocument/2006/relationships/hyperlink" Target="https://www.ons.gov.uk/economy/inflationandpriceindices/datasets/consumerpriceinflation" TargetMode="External"/><Relationship Id="rId4" Type="http://schemas.openxmlformats.org/officeDocument/2006/relationships/hyperlink" Target="https://www.gov.uk/government/news/national-living-wage-increase-boosts-pay-of-low-paid-wor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05396113898861"/>
          <c:y val="3.282356943747404E-2"/>
          <c:w val="0.86411564423464704"/>
          <c:h val="0.89795370772408845"/>
        </c:manualLayout>
      </c:layout>
      <c:barChart>
        <c:barDir val="col"/>
        <c:grouping val="clustered"/>
        <c:varyColors val="0"/>
        <c:ser>
          <c:idx val="1"/>
          <c:order val="2"/>
          <c:tx>
            <c:v>Lower Boundary</c:v>
          </c:tx>
          <c:spPr>
            <a:solidFill>
              <a:schemeClr val="accent2"/>
            </a:solidFill>
            <a:ln>
              <a:noFill/>
            </a:ln>
            <a:effectLst/>
          </c:spPr>
          <c:invertIfNegative val="0"/>
          <c:dLbls>
            <c:dLbl>
              <c:idx val="0"/>
              <c:tx>
                <c:rich>
                  <a:bodyPr/>
                  <a:lstStyle/>
                  <a:p>
                    <a:r>
                      <a:rPr lang="en-US"/>
                      <a:t>1,052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08-4C3D-96CF-26E05479551A}"/>
                </c:ext>
              </c:extLst>
            </c:dLbl>
            <c:dLbl>
              <c:idx val="1"/>
              <c:layout>
                <c:manualLayout>
                  <c:x val="8.6486486486487008E-3"/>
                  <c:y val="7.625157966365316E-2"/>
                </c:manualLayout>
              </c:layout>
              <c:tx>
                <c:rich>
                  <a:bodyPr/>
                  <a:lstStyle/>
                  <a:p>
                    <a:r>
                      <a:rPr lang="en-US"/>
                      <a:t>1,120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08-4C3D-96CF-26E05479551A}"/>
                </c:ext>
              </c:extLst>
            </c:dLbl>
            <c:dLbl>
              <c:idx val="2"/>
              <c:tx>
                <c:rich>
                  <a:bodyPr/>
                  <a:lstStyle/>
                  <a:p>
                    <a:r>
                      <a:rPr lang="en-US"/>
                      <a:t>1,317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F08-4C3D-96CF-26E05479551A}"/>
                </c:ext>
              </c:extLst>
            </c:dLbl>
            <c:dLbl>
              <c:idx val="3"/>
              <c:tx>
                <c:rich>
                  <a:bodyPr/>
                  <a:lstStyle/>
                  <a:p>
                    <a:r>
                      <a:rPr lang="en-US"/>
                      <a:t>1,305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08-4C3D-96CF-26E05479551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Sheet1!$G$3:$J$3</c:f>
              <c:numCache>
                <c:formatCode>0</c:formatCode>
                <c:ptCount val="4"/>
                <c:pt idx="0">
                  <c:v>1079.2133602259028</c:v>
                </c:pt>
                <c:pt idx="1">
                  <c:v>1147.1076085039381</c:v>
                </c:pt>
                <c:pt idx="2">
                  <c:v>1344.4129735243482</c:v>
                </c:pt>
                <c:pt idx="3">
                  <c:v>1332.0831529051093</c:v>
                </c:pt>
              </c:numCache>
            </c:numRef>
          </c:val>
          <c:extLst>
            <c:ext xmlns:c16="http://schemas.microsoft.com/office/drawing/2014/chart" uri="{C3380CC4-5D6E-409C-BE32-E72D297353CC}">
              <c16:uniqueId val="{00000004-BF08-4C3D-96CF-26E05479551A}"/>
            </c:ext>
          </c:extLst>
        </c:ser>
        <c:ser>
          <c:idx val="2"/>
          <c:order val="3"/>
          <c:tx>
            <c:v>Upper Boundary</c:v>
          </c:tx>
          <c:spPr>
            <a:solidFill>
              <a:sysClr val="window" lastClr="FFFFFF"/>
            </a:solidFill>
            <a:ln>
              <a:noFill/>
            </a:ln>
            <a:effectLst/>
          </c:spPr>
          <c:invertIfNegative val="0"/>
          <c:dLbls>
            <c:dLbl>
              <c:idx val="0"/>
              <c:tx>
                <c:rich>
                  <a:bodyPr/>
                  <a:lstStyle/>
                  <a:p>
                    <a:r>
                      <a:rPr lang="en-US"/>
                      <a:t>1,318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08-4C3D-96CF-26E05479551A}"/>
                </c:ext>
              </c:extLst>
            </c:dLbl>
            <c:dLbl>
              <c:idx val="1"/>
              <c:tx>
                <c:rich>
                  <a:bodyPr/>
                  <a:lstStyle/>
                  <a:p>
                    <a:r>
                      <a:rPr lang="en-US"/>
                      <a:t>1,434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F08-4C3D-96CF-26E05479551A}"/>
                </c:ext>
              </c:extLst>
            </c:dLbl>
            <c:dLbl>
              <c:idx val="2"/>
              <c:tx>
                <c:rich>
                  <a:bodyPr/>
                  <a:lstStyle/>
                  <a:p>
                    <a:r>
                      <a:rPr lang="en-US"/>
                      <a:t>1,655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F08-4C3D-96CF-26E05479551A}"/>
                </c:ext>
              </c:extLst>
            </c:dLbl>
            <c:dLbl>
              <c:idx val="3"/>
              <c:tx>
                <c:rich>
                  <a:bodyPr/>
                  <a:lstStyle/>
                  <a:p>
                    <a:r>
                      <a:rPr lang="en-US"/>
                      <a:t>1,701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F08-4C3D-96CF-26E05479551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Sheet1!$G$2:$J$2</c:f>
              <c:numCache>
                <c:formatCode>0</c:formatCode>
                <c:ptCount val="4"/>
                <c:pt idx="0">
                  <c:v>1345.4596356997081</c:v>
                </c:pt>
                <c:pt idx="1">
                  <c:v>1461.1090626077303</c:v>
                </c:pt>
                <c:pt idx="2">
                  <c:v>1682.5925367834477</c:v>
                </c:pt>
                <c:pt idx="3">
                  <c:v>1728.562195016905</c:v>
                </c:pt>
              </c:numCache>
            </c:numRef>
          </c:val>
          <c:extLst>
            <c:ext xmlns:c16="http://schemas.microsoft.com/office/drawing/2014/chart" uri="{C3380CC4-5D6E-409C-BE32-E72D297353CC}">
              <c16:uniqueId val="{00000009-BF08-4C3D-96CF-26E05479551A}"/>
            </c:ext>
          </c:extLst>
        </c:ser>
        <c:ser>
          <c:idx val="0"/>
          <c:order val="4"/>
          <c:tx>
            <c:v> Cost of Care</c:v>
          </c:tx>
          <c:spPr>
            <a:solidFill>
              <a:schemeClr val="accent1">
                <a:lumMod val="60000"/>
                <a:lumOff val="40000"/>
              </a:schemeClr>
            </a:solidFill>
            <a:ln>
              <a:noFill/>
            </a:ln>
            <a:effectLst/>
          </c:spPr>
          <c:invertIfNegative val="0"/>
          <c:dLbls>
            <c:dLbl>
              <c:idx val="0"/>
              <c:tx>
                <c:rich>
                  <a:bodyPr/>
                  <a:lstStyle/>
                  <a:p>
                    <a:r>
                      <a:rPr lang="en-US"/>
                      <a:t>1,121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F08-4C3D-96CF-26E05479551A}"/>
                </c:ext>
              </c:extLst>
            </c:dLbl>
            <c:dLbl>
              <c:idx val="1"/>
              <c:tx>
                <c:rich>
                  <a:bodyPr/>
                  <a:lstStyle/>
                  <a:p>
                    <a:r>
                      <a:rPr lang="en-US"/>
                      <a:t>1,188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F08-4C3D-96CF-26E05479551A}"/>
                </c:ext>
              </c:extLst>
            </c:dLbl>
            <c:dLbl>
              <c:idx val="2"/>
              <c:tx>
                <c:rich>
                  <a:bodyPr/>
                  <a:lstStyle/>
                  <a:p>
                    <a:r>
                      <a:rPr lang="en-US"/>
                      <a:t>1,408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F08-4C3D-96CF-26E05479551A}"/>
                </c:ext>
              </c:extLst>
            </c:dLbl>
            <c:dLbl>
              <c:idx val="3"/>
              <c:tx>
                <c:rich>
                  <a:bodyPr/>
                  <a:lstStyle/>
                  <a:p>
                    <a:r>
                      <a:rPr lang="en-US"/>
                      <a:t>1,428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F08-4C3D-96CF-26E05479551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Sheet1!$G$8:$J$8</c:f>
                <c:numCache>
                  <c:formatCode>General</c:formatCode>
                  <c:ptCount val="4"/>
                  <c:pt idx="0">
                    <c:v>197.24305777388076</c:v>
                  </c:pt>
                  <c:pt idx="1">
                    <c:v>246.00748468190272</c:v>
                  </c:pt>
                  <c:pt idx="2">
                    <c:v>247.45295885762039</c:v>
                  </c:pt>
                  <c:pt idx="3">
                    <c:v>273.45161709107765</c:v>
                  </c:pt>
                </c:numCache>
              </c:numRef>
            </c:plus>
            <c:minus>
              <c:numRef>
                <c:f>Sheet1!$G$9:$J$9</c:f>
                <c:numCache>
                  <c:formatCode>General</c:formatCode>
                  <c:ptCount val="4"/>
                  <c:pt idx="0">
                    <c:v>69.003217699924562</c:v>
                  </c:pt>
                  <c:pt idx="1">
                    <c:v>67.99396942188946</c:v>
                  </c:pt>
                  <c:pt idx="2">
                    <c:v>90.726604401479108</c:v>
                  </c:pt>
                  <c:pt idx="3">
                    <c:v>123.02742502071806</c:v>
                  </c:pt>
                </c:numCache>
              </c:numRef>
            </c:minus>
            <c:spPr>
              <a:noFill/>
              <a:ln w="9525" cap="flat" cmpd="sng" algn="ctr">
                <a:solidFill>
                  <a:schemeClr val="tx1">
                    <a:lumMod val="65000"/>
                    <a:lumOff val="35000"/>
                  </a:schemeClr>
                </a:solidFill>
                <a:round/>
              </a:ln>
              <a:effectLst/>
            </c:spPr>
          </c:errBars>
          <c:cat>
            <c:strRef>
              <c:f>Sheet1!$G$7:$J$7</c:f>
              <c:strCache>
                <c:ptCount val="4"/>
                <c:pt idx="0">
                  <c:v>Non-Nursing</c:v>
                </c:pt>
                <c:pt idx="1">
                  <c:v>Non-Nursing with enhancement</c:v>
                </c:pt>
                <c:pt idx="2">
                  <c:v>Nursing</c:v>
                </c:pt>
                <c:pt idx="3">
                  <c:v>Nursing with enhancement</c:v>
                </c:pt>
              </c:strCache>
            </c:strRef>
          </c:cat>
          <c:val>
            <c:numRef>
              <c:f>Sheet1!$G$4:$J$4</c:f>
              <c:numCache>
                <c:formatCode>0</c:formatCode>
                <c:ptCount val="4"/>
                <c:pt idx="0">
                  <c:v>1148.2165779258273</c:v>
                </c:pt>
                <c:pt idx="1">
                  <c:v>1215.1015779258275</c:v>
                </c:pt>
                <c:pt idx="2">
                  <c:v>1435.1395779258273</c:v>
                </c:pt>
                <c:pt idx="3">
                  <c:v>1455.1105779258273</c:v>
                </c:pt>
              </c:numCache>
            </c:numRef>
          </c:val>
          <c:extLst>
            <c:ext xmlns:c16="http://schemas.microsoft.com/office/drawing/2014/chart" uri="{C3380CC4-5D6E-409C-BE32-E72D297353CC}">
              <c16:uniqueId val="{0000000E-BF08-4C3D-96CF-26E05479551A}"/>
            </c:ext>
          </c:extLst>
        </c:ser>
        <c:dLbls>
          <c:showLegendKey val="0"/>
          <c:showVal val="1"/>
          <c:showCatName val="0"/>
          <c:showSerName val="0"/>
          <c:showPercent val="0"/>
          <c:showBubbleSize val="0"/>
        </c:dLbls>
        <c:gapWidth val="219"/>
        <c:overlap val="100"/>
        <c:axId val="825478376"/>
        <c:axId val="825481656"/>
      </c:barChart>
      <c:barChart>
        <c:barDir val="col"/>
        <c:grouping val="clustered"/>
        <c:varyColors val="0"/>
        <c:ser>
          <c:idx val="4"/>
          <c:order val="0"/>
          <c:tx>
            <c:v>Invisible LA</c:v>
          </c:tx>
          <c:spPr>
            <a:solidFill>
              <a:schemeClr val="accent5"/>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F-BF08-4C3D-96CF-26E05479551A}"/>
            </c:ext>
          </c:extLst>
        </c:ser>
        <c:ser>
          <c:idx val="3"/>
          <c:order val="1"/>
          <c:tx>
            <c:v>Oxfordshire County Council</c:v>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Sheet1!$G$5:$J$5</c:f>
              <c:numCache>
                <c:formatCode>General</c:formatCode>
                <c:ptCount val="4"/>
                <c:pt idx="0">
                  <c:v>898</c:v>
                </c:pt>
                <c:pt idx="1">
                  <c:v>898</c:v>
                </c:pt>
                <c:pt idx="2">
                  <c:v>1161</c:v>
                </c:pt>
                <c:pt idx="3">
                  <c:v>1161</c:v>
                </c:pt>
              </c:numCache>
            </c:numRef>
          </c:val>
          <c:extLst>
            <c:ext xmlns:c16="http://schemas.microsoft.com/office/drawing/2014/chart" uri="{C3380CC4-5D6E-409C-BE32-E72D297353CC}">
              <c16:uniqueId val="{00000010-BF08-4C3D-96CF-26E05479551A}"/>
            </c:ext>
          </c:extLst>
        </c:ser>
        <c:dLbls>
          <c:showLegendKey val="0"/>
          <c:showVal val="0"/>
          <c:showCatName val="0"/>
          <c:showSerName val="0"/>
          <c:showPercent val="0"/>
          <c:showBubbleSize val="0"/>
        </c:dLbls>
        <c:gapWidth val="0"/>
        <c:overlap val="-100"/>
        <c:axId val="751856128"/>
        <c:axId val="751849896"/>
      </c:barChart>
      <c:catAx>
        <c:axId val="82547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481656"/>
        <c:crosses val="autoZero"/>
        <c:auto val="1"/>
        <c:lblAlgn val="ctr"/>
        <c:lblOffset val="100"/>
        <c:noMultiLvlLbl val="0"/>
      </c:catAx>
      <c:valAx>
        <c:axId val="8254816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per week</a:t>
                </a:r>
              </a:p>
              <a:p>
                <a:pPr>
                  <a:defRPr/>
                </a:pP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478376"/>
        <c:crosses val="autoZero"/>
        <c:crossBetween val="between"/>
      </c:valAx>
      <c:valAx>
        <c:axId val="751849896"/>
        <c:scaling>
          <c:orientation val="minMax"/>
          <c:max val="1600"/>
        </c:scaling>
        <c:delete val="1"/>
        <c:axPos val="r"/>
        <c:numFmt formatCode="General" sourceLinked="1"/>
        <c:majorTickMark val="out"/>
        <c:minorTickMark val="none"/>
        <c:tickLblPos val="nextTo"/>
        <c:crossAx val="751856128"/>
        <c:crosses val="max"/>
        <c:crossBetween val="between"/>
      </c:valAx>
      <c:catAx>
        <c:axId val="751856128"/>
        <c:scaling>
          <c:orientation val="minMax"/>
        </c:scaling>
        <c:delete val="1"/>
        <c:axPos val="b"/>
        <c:majorTickMark val="out"/>
        <c:minorTickMark val="none"/>
        <c:tickLblPos val="nextTo"/>
        <c:crossAx val="751849896"/>
        <c:crosses val="autoZero"/>
        <c:auto val="1"/>
        <c:lblAlgn val="ctr"/>
        <c:lblOffset val="100"/>
        <c:noMultiLvlLbl val="0"/>
      </c:catAx>
      <c:spPr>
        <a:noFill/>
        <a:ln>
          <a:noFill/>
        </a:ln>
        <a:effectLst/>
      </c:spPr>
    </c:plotArea>
    <c:legend>
      <c:legendPos val="t"/>
      <c:legendEntry>
        <c:idx val="0"/>
        <c:delete val="1"/>
      </c:legendEntry>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05396113898861"/>
          <c:y val="0.28987382317165433"/>
          <c:w val="0.65419749108154934"/>
          <c:h val="0.64090361552322817"/>
        </c:manualLayout>
      </c:layout>
      <c:barChart>
        <c:barDir val="col"/>
        <c:grouping val="clustered"/>
        <c:varyColors val="0"/>
        <c:ser>
          <c:idx val="1"/>
          <c:order val="2"/>
          <c:tx>
            <c:v>Lower Boundary</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Homecare!$G$3</c:f>
              <c:numCache>
                <c:formatCode>0.00</c:formatCode>
                <c:ptCount val="1"/>
                <c:pt idx="0">
                  <c:v>26.589723279012375</c:v>
                </c:pt>
              </c:numCache>
            </c:numRef>
          </c:val>
          <c:extLst>
            <c:ext xmlns:c16="http://schemas.microsoft.com/office/drawing/2014/chart" uri="{C3380CC4-5D6E-409C-BE32-E72D297353CC}">
              <c16:uniqueId val="{00000000-B831-490F-A906-92B2A093E44A}"/>
            </c:ext>
          </c:extLst>
        </c:ser>
        <c:ser>
          <c:idx val="2"/>
          <c:order val="3"/>
          <c:tx>
            <c:v>Upper Boundary</c:v>
          </c:tx>
          <c:spPr>
            <a:solidFill>
              <a:sysClr val="window" lastClr="FFF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Homecare!$G$2</c:f>
              <c:numCache>
                <c:formatCode>0.00</c:formatCode>
                <c:ptCount val="1"/>
                <c:pt idx="0">
                  <c:v>37.975829717236536</c:v>
                </c:pt>
              </c:numCache>
            </c:numRef>
          </c:val>
          <c:extLst>
            <c:ext xmlns:c16="http://schemas.microsoft.com/office/drawing/2014/chart" uri="{C3380CC4-5D6E-409C-BE32-E72D297353CC}">
              <c16:uniqueId val="{00000001-B831-490F-A906-92B2A093E44A}"/>
            </c:ext>
          </c:extLst>
        </c:ser>
        <c:ser>
          <c:idx val="0"/>
          <c:order val="4"/>
          <c:tx>
            <c:v> Cost of Care Result</c:v>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Homecare!$G$8:$H$8</c:f>
                <c:numCache>
                  <c:formatCode>General</c:formatCode>
                  <c:ptCount val="2"/>
                  <c:pt idx="0">
                    <c:v>7.8513297172365455</c:v>
                  </c:pt>
                </c:numCache>
              </c:numRef>
            </c:plus>
            <c:minus>
              <c:numRef>
                <c:f>Homecare!$G$9:$H$9</c:f>
                <c:numCache>
                  <c:formatCode>General</c:formatCode>
                  <c:ptCount val="2"/>
                  <c:pt idx="0">
                    <c:v>3.5347767209876153</c:v>
                  </c:pt>
                </c:numCache>
              </c:numRef>
            </c:minus>
            <c:spPr>
              <a:noFill/>
              <a:ln w="9525" cap="flat" cmpd="sng" algn="ctr">
                <a:solidFill>
                  <a:schemeClr val="tx1">
                    <a:lumMod val="65000"/>
                    <a:lumOff val="35000"/>
                  </a:schemeClr>
                </a:solidFill>
                <a:round/>
              </a:ln>
              <a:effectLst/>
            </c:spPr>
          </c:errBars>
          <c:cat>
            <c:strRef>
              <c:f>Homecare!$G$7:$H$7</c:f>
              <c:strCache>
                <c:ptCount val="1"/>
                <c:pt idx="0">
                  <c:v>Domiciliary Care</c:v>
                </c:pt>
              </c:strCache>
            </c:strRef>
          </c:cat>
          <c:val>
            <c:numRef>
              <c:f>Homecare!$G$4</c:f>
              <c:numCache>
                <c:formatCode>0.00</c:formatCode>
                <c:ptCount val="1"/>
                <c:pt idx="0">
                  <c:v>30.124499999999991</c:v>
                </c:pt>
              </c:numCache>
            </c:numRef>
          </c:val>
          <c:extLst>
            <c:ext xmlns:c16="http://schemas.microsoft.com/office/drawing/2014/chart" uri="{C3380CC4-5D6E-409C-BE32-E72D297353CC}">
              <c16:uniqueId val="{00000002-B831-490F-A906-92B2A093E44A}"/>
            </c:ext>
          </c:extLst>
        </c:ser>
        <c:dLbls>
          <c:showLegendKey val="0"/>
          <c:showVal val="1"/>
          <c:showCatName val="0"/>
          <c:showSerName val="0"/>
          <c:showPercent val="0"/>
          <c:showBubbleSize val="0"/>
        </c:dLbls>
        <c:gapWidth val="219"/>
        <c:overlap val="100"/>
        <c:axId val="825478376"/>
        <c:axId val="825481656"/>
      </c:barChart>
      <c:barChart>
        <c:barDir val="col"/>
        <c:grouping val="clustered"/>
        <c:varyColors val="0"/>
        <c:ser>
          <c:idx val="4"/>
          <c:order val="0"/>
          <c:tx>
            <c:v>Invisible LA</c:v>
          </c:tx>
          <c:spPr>
            <a:solidFill>
              <a:schemeClr val="accent5"/>
            </a:solidFill>
            <a:ln>
              <a:noFill/>
            </a:ln>
            <a:effectLst/>
          </c:spPr>
          <c:invertIfNegative val="0"/>
          <c:val>
            <c:numLit>
              <c:formatCode>General</c:formatCode>
              <c:ptCount val="1"/>
              <c:pt idx="0">
                <c:v>0</c:v>
              </c:pt>
            </c:numLit>
          </c:val>
          <c:extLst>
            <c:ext xmlns:c16="http://schemas.microsoft.com/office/drawing/2014/chart" uri="{C3380CC4-5D6E-409C-BE32-E72D297353CC}">
              <c16:uniqueId val="{00000003-B831-490F-A906-92B2A093E44A}"/>
            </c:ext>
          </c:extLst>
        </c:ser>
        <c:ser>
          <c:idx val="3"/>
          <c:order val="1"/>
          <c:tx>
            <c:v>Local Authority Fee Rate</c:v>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Homecare!$G$5</c:f>
              <c:numCache>
                <c:formatCode>0.00</c:formatCode>
                <c:ptCount val="1"/>
                <c:pt idx="0">
                  <c:v>25.2</c:v>
                </c:pt>
              </c:numCache>
            </c:numRef>
          </c:val>
          <c:extLst>
            <c:ext xmlns:c16="http://schemas.microsoft.com/office/drawing/2014/chart" uri="{C3380CC4-5D6E-409C-BE32-E72D297353CC}">
              <c16:uniqueId val="{00000004-B831-490F-A906-92B2A093E44A}"/>
            </c:ext>
          </c:extLst>
        </c:ser>
        <c:dLbls>
          <c:showLegendKey val="0"/>
          <c:showVal val="0"/>
          <c:showCatName val="0"/>
          <c:showSerName val="0"/>
          <c:showPercent val="0"/>
          <c:showBubbleSize val="0"/>
        </c:dLbls>
        <c:gapWidth val="0"/>
        <c:overlap val="-100"/>
        <c:axId val="751856128"/>
        <c:axId val="751849896"/>
      </c:barChart>
      <c:catAx>
        <c:axId val="82547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481656"/>
        <c:crosses val="autoZero"/>
        <c:auto val="1"/>
        <c:lblAlgn val="ctr"/>
        <c:lblOffset val="100"/>
        <c:noMultiLvlLbl val="0"/>
      </c:catAx>
      <c:valAx>
        <c:axId val="82548165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 per hour</a:t>
                </a:r>
              </a:p>
              <a:p>
                <a:pPr>
                  <a:defRPr/>
                </a:pPr>
                <a:endParaRPr lang="en-GB"/>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5478376"/>
        <c:crosses val="autoZero"/>
        <c:crossBetween val="between"/>
      </c:valAx>
      <c:valAx>
        <c:axId val="751849896"/>
        <c:scaling>
          <c:orientation val="minMax"/>
          <c:max val="1600"/>
        </c:scaling>
        <c:delete val="1"/>
        <c:axPos val="r"/>
        <c:numFmt formatCode="General" sourceLinked="1"/>
        <c:majorTickMark val="out"/>
        <c:minorTickMark val="none"/>
        <c:tickLblPos val="nextTo"/>
        <c:crossAx val="751856128"/>
        <c:crosses val="max"/>
        <c:crossBetween val="between"/>
      </c:valAx>
      <c:catAx>
        <c:axId val="751856128"/>
        <c:scaling>
          <c:orientation val="minMax"/>
        </c:scaling>
        <c:delete val="1"/>
        <c:axPos val="b"/>
        <c:majorTickMark val="out"/>
        <c:minorTickMark val="none"/>
        <c:tickLblPos val="nextTo"/>
        <c:crossAx val="751849896"/>
        <c:crosses val="autoZero"/>
        <c:auto val="1"/>
        <c:lblAlgn val="ctr"/>
        <c:lblOffset val="100"/>
        <c:noMultiLvlLbl val="0"/>
      </c:catAx>
      <c:spPr>
        <a:noFill/>
        <a:ln>
          <a:noFill/>
        </a:ln>
        <a:effectLst/>
      </c:spPr>
    </c:plotArea>
    <c:legend>
      <c:legendPos val="t"/>
      <c:legendEntry>
        <c:idx val="0"/>
        <c:delete val="1"/>
      </c:legendEntry>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9d6c27-2b38-48b3-b365-fda992ebed16">
      <Terms xmlns="http://schemas.microsoft.com/office/infopath/2007/PartnerControls"/>
    </lcf76f155ced4ddcb4097134ff3c332f>
    <TaxCatchAll xmlns="32fb1bc9-b631-4e22-b54d-cfca9bf0c4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0AF8BA70643C4D90C08702A54101C2" ma:contentTypeVersion="16" ma:contentTypeDescription="Create a new document." ma:contentTypeScope="" ma:versionID="12f9ea1833c40f6cb87e6c1cfaa01c28">
  <xsd:schema xmlns:xsd="http://www.w3.org/2001/XMLSchema" xmlns:xs="http://www.w3.org/2001/XMLSchema" xmlns:p="http://schemas.microsoft.com/office/2006/metadata/properties" xmlns:ns2="439d6c27-2b38-48b3-b365-fda992ebed16" xmlns:ns3="3452fd39-db9a-4de6-a564-bf430038ff63" xmlns:ns4="32fb1bc9-b631-4e22-b54d-cfca9bf0c409" targetNamespace="http://schemas.microsoft.com/office/2006/metadata/properties" ma:root="true" ma:fieldsID="58b406cdfd924bf07d1c071cae673723" ns2:_="" ns3:_="" ns4:_="">
    <xsd:import namespace="439d6c27-2b38-48b3-b365-fda992ebed16"/>
    <xsd:import namespace="3452fd39-db9a-4de6-a564-bf430038ff63"/>
    <xsd:import namespace="32fb1bc9-b631-4e22-b54d-cfca9bf0c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d6c27-2b38-48b3-b365-fda992ebe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ba5d2a-9cac-4388-9a73-c203450971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52fd39-db9a-4de6-a564-bf430038ff6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b1bc9-b631-4e22-b54d-cfca9bf0c40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fd6acf-8861-4d8b-b9e0-414da8de8643}" ma:internalName="TaxCatchAll" ma:showField="CatchAllData" ma:web="3452fd39-db9a-4de6-a564-bf430038ff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C5055-3660-434E-9A25-950444403A92}">
  <ds:schemaRefs>
    <ds:schemaRef ds:uri="http://schemas.openxmlformats.org/officeDocument/2006/bibliography"/>
  </ds:schemaRefs>
</ds:datastoreItem>
</file>

<file path=customXml/itemProps2.xml><?xml version="1.0" encoding="utf-8"?>
<ds:datastoreItem xmlns:ds="http://schemas.openxmlformats.org/officeDocument/2006/customXml" ds:itemID="{179071B4-7AA6-47D1-826F-06E84CBD8E98}">
  <ds:schemaRefs>
    <ds:schemaRef ds:uri="http://schemas.microsoft.com/office/2006/metadata/properties"/>
    <ds:schemaRef ds:uri="http://schemas.microsoft.com/office/infopath/2007/PartnerControls"/>
    <ds:schemaRef ds:uri="439d6c27-2b38-48b3-b365-fda992ebed16"/>
    <ds:schemaRef ds:uri="32fb1bc9-b631-4e22-b54d-cfca9bf0c409"/>
  </ds:schemaRefs>
</ds:datastoreItem>
</file>

<file path=customXml/itemProps3.xml><?xml version="1.0" encoding="utf-8"?>
<ds:datastoreItem xmlns:ds="http://schemas.openxmlformats.org/officeDocument/2006/customXml" ds:itemID="{CD325DB3-5EB2-491C-A584-325318744A9E}">
  <ds:schemaRefs>
    <ds:schemaRef ds:uri="http://schemas.microsoft.com/sharepoint/v3/contenttype/forms"/>
  </ds:schemaRefs>
</ds:datastoreItem>
</file>

<file path=customXml/itemProps4.xml><?xml version="1.0" encoding="utf-8"?>
<ds:datastoreItem xmlns:ds="http://schemas.openxmlformats.org/officeDocument/2006/customXml" ds:itemID="{6F849B3B-E0DF-46D3-9532-59251B5FB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d6c27-2b38-48b3-b365-fda992ebed16"/>
    <ds:schemaRef ds:uri="3452fd39-db9a-4de6-a564-bf430038ff63"/>
    <ds:schemaRef ds:uri="32fb1bc9-b631-4e22-b54d-cfca9bf0c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16156</Words>
  <Characters>92091</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Kakkar, Jas - Oxfordshire County Council</dc:creator>
  <cp:keywords/>
  <dc:description/>
  <cp:lastModifiedBy>Upjohn, David - Oxfordshire County Council</cp:lastModifiedBy>
  <cp:revision>3</cp:revision>
  <cp:lastPrinted>2023-01-31T16:56:00Z</cp:lastPrinted>
  <dcterms:created xsi:type="dcterms:W3CDTF">2023-02-01T13:49:00Z</dcterms:created>
  <dcterms:modified xsi:type="dcterms:W3CDTF">2023-02-01T13:58:00Z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0x010100A90AF8BA70643C4D90C08702A54101C2</vt:lpwstr>
  </property>
</Properties>
</file>